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C8B" w:rsidRDefault="001E516C">
      <w:pPr>
        <w:spacing w:line="480" w:lineRule="auto"/>
        <w:ind w:right="-144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rPr>
        <w:drawing>
          <wp:inline distT="114300" distB="114300" distL="114300" distR="114300">
            <wp:extent cx="7753350" cy="10053638"/>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7753350" cy="10053638"/>
                    </a:xfrm>
                    <a:prstGeom prst="rect">
                      <a:avLst/>
                    </a:prstGeom>
                    <a:ln/>
                  </pic:spPr>
                </pic:pic>
              </a:graphicData>
            </a:graphic>
          </wp:inline>
        </w:drawing>
      </w:r>
    </w:p>
    <w:p w:rsidR="00C30C8B" w:rsidRDefault="00C30C8B">
      <w:pPr>
        <w:spacing w:line="480" w:lineRule="auto"/>
        <w:ind w:right="-1440"/>
        <w:rPr>
          <w:rFonts w:ascii="Times New Roman" w:eastAsia="Times New Roman" w:hAnsi="Times New Roman" w:cs="Times New Roman"/>
          <w:b/>
          <w:sz w:val="24"/>
          <w:szCs w:val="24"/>
        </w:rPr>
      </w:pPr>
    </w:p>
    <w:p w:rsidR="00C30C8B" w:rsidRDefault="001E516C">
      <w:pPr>
        <w:shd w:val="clear" w:color="auto" w:fill="FFFFFF"/>
        <w:spacing w:line="48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2020 Editorial Team</w:t>
      </w:r>
      <w:r>
        <w:rPr>
          <w:noProof/>
          <w:lang w:val="en-US"/>
        </w:rPr>
        <w:drawing>
          <wp:anchor distT="114300" distB="114300" distL="114300" distR="114300" simplePos="0" relativeHeight="251658240" behindDoc="0" locked="0" layoutInCell="1" hidden="0" allowOverlap="1">
            <wp:simplePos x="0" y="0"/>
            <wp:positionH relativeFrom="column">
              <wp:posOffset>947738</wp:posOffset>
            </wp:positionH>
            <wp:positionV relativeFrom="paragraph">
              <wp:posOffset>313528</wp:posOffset>
            </wp:positionV>
            <wp:extent cx="4405313" cy="4134647"/>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405313" cy="4134647"/>
                    </a:xfrm>
                    <a:prstGeom prst="rect">
                      <a:avLst/>
                    </a:prstGeom>
                    <a:ln/>
                  </pic:spPr>
                </pic:pic>
              </a:graphicData>
            </a:graphic>
          </wp:anchor>
        </w:drawing>
      </w: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1E516C" w:rsidRDefault="001E516C">
      <w:pPr>
        <w:shd w:val="clear" w:color="auto" w:fill="FFFFFF"/>
        <w:spacing w:line="480" w:lineRule="auto"/>
        <w:jc w:val="center"/>
        <w:rPr>
          <w:rFonts w:ascii="Times New Roman" w:eastAsia="Times New Roman" w:hAnsi="Times New Roman" w:cs="Times New Roman"/>
          <w:b/>
          <w:color w:val="222222"/>
          <w:sz w:val="24"/>
          <w:szCs w:val="24"/>
        </w:rPr>
      </w:pPr>
    </w:p>
    <w:p w:rsidR="001E516C" w:rsidRDefault="001E516C">
      <w:pPr>
        <w:shd w:val="clear" w:color="auto" w:fill="FFFFFF"/>
        <w:spacing w:line="480" w:lineRule="auto"/>
        <w:jc w:val="center"/>
        <w:rPr>
          <w:rFonts w:ascii="Times New Roman" w:eastAsia="Times New Roman" w:hAnsi="Times New Roman" w:cs="Times New Roman"/>
          <w:b/>
          <w:color w:val="222222"/>
          <w:sz w:val="24"/>
          <w:szCs w:val="24"/>
        </w:rPr>
      </w:pPr>
    </w:p>
    <w:p w:rsidR="001E516C" w:rsidRDefault="001E516C">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jc w:val="center"/>
        <w:rPr>
          <w:rFonts w:ascii="Times New Roman" w:eastAsia="Times New Roman" w:hAnsi="Times New Roman" w:cs="Times New Roman"/>
          <w:b/>
          <w:color w:val="222222"/>
          <w:sz w:val="24"/>
          <w:szCs w:val="24"/>
        </w:rPr>
      </w:pPr>
    </w:p>
    <w:p w:rsidR="00C30C8B" w:rsidRDefault="00C30C8B">
      <w:pPr>
        <w:shd w:val="clear" w:color="auto" w:fill="FFFFFF"/>
        <w:spacing w:line="480" w:lineRule="auto"/>
        <w:rPr>
          <w:rFonts w:ascii="Times New Roman" w:eastAsia="Times New Roman" w:hAnsi="Times New Roman" w:cs="Times New Roman"/>
          <w:b/>
          <w:color w:val="222222"/>
          <w:sz w:val="24"/>
          <w:szCs w:val="24"/>
        </w:rPr>
      </w:pPr>
    </w:p>
    <w:p w:rsidR="00C30C8B" w:rsidRDefault="00C30C8B">
      <w:pPr>
        <w:shd w:val="clear" w:color="auto" w:fill="FFFFFF"/>
        <w:rPr>
          <w:rFonts w:ascii="Times New Roman" w:eastAsia="Times New Roman" w:hAnsi="Times New Roman" w:cs="Times New Roman"/>
          <w:b/>
          <w:color w:val="222222"/>
          <w:sz w:val="24"/>
          <w:szCs w:val="24"/>
        </w:rPr>
      </w:pPr>
    </w:p>
    <w:p w:rsidR="00C30C8B" w:rsidRDefault="001E516C">
      <w:pPr>
        <w:shd w:val="clear" w:color="auto" w:fill="FFFFFF"/>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lastRenderedPageBreak/>
        <w:t>Acknowledgements</w:t>
      </w:r>
    </w:p>
    <w:p w:rsidR="00C30C8B" w:rsidRDefault="001E516C">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First, we would like to acknowledge and pay respect to the Algonquin people, who are the traditional guardians of this land. We acknowledge their </w:t>
      </w:r>
      <w:proofErr w:type="gramStart"/>
      <w:r>
        <w:rPr>
          <w:rFonts w:ascii="Times New Roman" w:eastAsia="Times New Roman" w:hAnsi="Times New Roman" w:cs="Times New Roman"/>
          <w:color w:val="222222"/>
          <w:sz w:val="24"/>
          <w:szCs w:val="24"/>
        </w:rPr>
        <w:t>long standing</w:t>
      </w:r>
      <w:proofErr w:type="gramEnd"/>
      <w:r>
        <w:rPr>
          <w:rFonts w:ascii="Times New Roman" w:eastAsia="Times New Roman" w:hAnsi="Times New Roman" w:cs="Times New Roman"/>
          <w:color w:val="222222"/>
          <w:sz w:val="24"/>
          <w:szCs w:val="24"/>
        </w:rPr>
        <w:t xml:space="preserve"> relationship with this territory, which remains unceded. We pay respect to all Indigenous people in this region, from all nations across Canada, who call Ottawa home. We acknowledge the traditional knowledge keepers, both young and old. </w:t>
      </w:r>
      <w:proofErr w:type="gramStart"/>
      <w:r>
        <w:rPr>
          <w:rFonts w:ascii="Times New Roman" w:eastAsia="Times New Roman" w:hAnsi="Times New Roman" w:cs="Times New Roman"/>
          <w:color w:val="222222"/>
          <w:sz w:val="24"/>
          <w:szCs w:val="24"/>
        </w:rPr>
        <w:t>And</w:t>
      </w:r>
      <w:proofErr w:type="gramEnd"/>
      <w:r>
        <w:rPr>
          <w:rFonts w:ascii="Times New Roman" w:eastAsia="Times New Roman" w:hAnsi="Times New Roman" w:cs="Times New Roman"/>
          <w:color w:val="222222"/>
          <w:sz w:val="24"/>
          <w:szCs w:val="24"/>
        </w:rPr>
        <w:t xml:space="preserve"> we honour their courageous leaders: past, present, and future.</w:t>
      </w:r>
    </w:p>
    <w:p w:rsidR="00C30C8B" w:rsidRDefault="001E516C">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rsidR="00C30C8B" w:rsidRDefault="001E516C">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success and </w:t>
      </w:r>
      <w:proofErr w:type="gramStart"/>
      <w:r>
        <w:rPr>
          <w:rFonts w:ascii="Times New Roman" w:eastAsia="Times New Roman" w:hAnsi="Times New Roman" w:cs="Times New Roman"/>
          <w:color w:val="222222"/>
          <w:sz w:val="24"/>
          <w:szCs w:val="24"/>
        </w:rPr>
        <w:t>final outcome</w:t>
      </w:r>
      <w:proofErr w:type="gramEnd"/>
      <w:r>
        <w:rPr>
          <w:rFonts w:ascii="Times New Roman" w:eastAsia="Times New Roman" w:hAnsi="Times New Roman" w:cs="Times New Roman"/>
          <w:color w:val="222222"/>
          <w:sz w:val="24"/>
          <w:szCs w:val="24"/>
        </w:rPr>
        <w:t xml:space="preserve"> of this project required a lot of guidance and assistance from many people and we are extremely privileged to have got this all along the completion of the issue this year. We would like to thank the University of Ottawa for providing the students with the course and sponsoring our main Issue Launch Event in the Faculty of Social Science Building.</w:t>
      </w:r>
    </w:p>
    <w:p w:rsidR="00C30C8B" w:rsidRDefault="00C30C8B">
      <w:pPr>
        <w:shd w:val="clear" w:color="auto" w:fill="FFFFFF"/>
        <w:rPr>
          <w:rFonts w:ascii="Times New Roman" w:eastAsia="Times New Roman" w:hAnsi="Times New Roman" w:cs="Times New Roman"/>
          <w:color w:val="222222"/>
          <w:sz w:val="24"/>
          <w:szCs w:val="24"/>
        </w:rPr>
      </w:pPr>
    </w:p>
    <w:p w:rsidR="00C30C8B" w:rsidRDefault="001E516C">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We would also like to thank the undergraduate students who participated for their hard work and dedication to the UJPPS.</w:t>
      </w:r>
    </w:p>
    <w:p w:rsidR="00C30C8B" w:rsidRDefault="001E516C">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rsidR="00C30C8B" w:rsidRDefault="001E516C">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Thank you to Dr. Daniel Stockemer for providing his expertise and support in facilitating the course for the third, successful year in a row. As well as providing undergraduate students with first-hand experience in the process of editing, reviewing and publishing research papers.  </w:t>
      </w:r>
    </w:p>
    <w:p w:rsidR="00C30C8B" w:rsidRDefault="001E516C">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rsidR="00C30C8B" w:rsidRDefault="001E516C">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Lastly, we would like to thank the editors, reviewers and everyone who submitted to the journal. Without them, this year’s issue would not be possible. </w:t>
      </w: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1E516C" w:rsidRDefault="001E516C">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jc w:val="center"/>
        <w:rPr>
          <w:rFonts w:ascii="Times New Roman" w:eastAsia="Times New Roman" w:hAnsi="Times New Roman" w:cs="Times New Roman"/>
          <w:b/>
          <w:sz w:val="24"/>
          <w:szCs w:val="24"/>
        </w:rPr>
      </w:pPr>
    </w:p>
    <w:p w:rsidR="00C30C8B" w:rsidRDefault="00C30C8B">
      <w:pPr>
        <w:jc w:val="center"/>
        <w:rPr>
          <w:rFonts w:ascii="Times New Roman" w:eastAsia="Times New Roman" w:hAnsi="Times New Roman" w:cs="Times New Roman"/>
          <w:b/>
          <w:sz w:val="24"/>
          <w:szCs w:val="24"/>
        </w:rPr>
      </w:pPr>
    </w:p>
    <w:p w:rsidR="00C30C8B" w:rsidRDefault="00C30C8B">
      <w:pPr>
        <w:jc w:val="center"/>
        <w:rPr>
          <w:rFonts w:ascii="Times New Roman" w:eastAsia="Times New Roman" w:hAnsi="Times New Roman" w:cs="Times New Roman"/>
          <w:b/>
          <w:sz w:val="24"/>
          <w:szCs w:val="24"/>
        </w:rPr>
      </w:pPr>
    </w:p>
    <w:p w:rsidR="00C30C8B" w:rsidRDefault="001E516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Undergraduate Journal of Politics, Policy and Society (UJPPS), established in 2018, is the University of Ottawa's premier undergraduate political science journal. The purpose of the journal is to make available academic research created by students from across the globe. </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unique journal is by and for undergraduate students, and as such, operates in two distinct spheres. As a journal run by students, it provides a learning opportunity within the realm of academic writing, editing and publishing. By soliciting, reviewing and editing submissions for the journal, the editorial team familiarizes themselves with the academic publication process. As a journal for undergraduate students, it provides the possibility for publication and access to new and interesting research. Authors featured in this journal </w:t>
      </w:r>
      <w:proofErr w:type="gramStart"/>
      <w:r>
        <w:rPr>
          <w:rFonts w:ascii="Times New Roman" w:eastAsia="Times New Roman" w:hAnsi="Times New Roman" w:cs="Times New Roman"/>
          <w:sz w:val="24"/>
          <w:szCs w:val="24"/>
        </w:rPr>
        <w:t>are given</w:t>
      </w:r>
      <w:proofErr w:type="gramEnd"/>
      <w:r>
        <w:rPr>
          <w:rFonts w:ascii="Times New Roman" w:eastAsia="Times New Roman" w:hAnsi="Times New Roman" w:cs="Times New Roman"/>
          <w:sz w:val="24"/>
          <w:szCs w:val="24"/>
        </w:rPr>
        <w:t xml:space="preserve"> the opportunity to have their work peer-reviewed and managed by an editor. This gives young academics a welcoming first- hand experience in the publishing world. In order to ensure the quality of the journal and educational benefits for the students running it, UJPPS </w:t>
      </w:r>
      <w:proofErr w:type="gramStart"/>
      <w:r>
        <w:rPr>
          <w:rFonts w:ascii="Times New Roman" w:eastAsia="Times New Roman" w:hAnsi="Times New Roman" w:cs="Times New Roman"/>
          <w:sz w:val="24"/>
          <w:szCs w:val="24"/>
        </w:rPr>
        <w:t>was institutionalized</w:t>
      </w:r>
      <w:proofErr w:type="gramEnd"/>
      <w:r>
        <w:rPr>
          <w:rFonts w:ascii="Times New Roman" w:eastAsia="Times New Roman" w:hAnsi="Times New Roman" w:cs="Times New Roman"/>
          <w:sz w:val="24"/>
          <w:szCs w:val="24"/>
        </w:rPr>
        <w:t xml:space="preserve"> within the university and is offered annually as an upper-level social sciences course. </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theme for the 2020 issue is Politics in The Digital Age. With technology and media taking the world by storm, this issue examines how modern technological advancements affect </w:t>
      </w:r>
      <w:proofErr w:type="gramStart"/>
      <w:r>
        <w:rPr>
          <w:rFonts w:ascii="Times New Roman" w:eastAsia="Times New Roman" w:hAnsi="Times New Roman" w:cs="Times New Roman"/>
          <w:sz w:val="24"/>
          <w:szCs w:val="24"/>
        </w:rPr>
        <w:t>politics</w:t>
      </w:r>
      <w:proofErr w:type="gramEnd"/>
      <w:r>
        <w:rPr>
          <w:rFonts w:ascii="Times New Roman" w:eastAsia="Times New Roman" w:hAnsi="Times New Roman" w:cs="Times New Roman"/>
          <w:sz w:val="24"/>
          <w:szCs w:val="24"/>
        </w:rPr>
        <w:t xml:space="preserve"> as we know it. We received 20 submissions from a variety of universities from around the world, including Europe, Asia and the Americas. The UJPPS editorial team had a difficult time deciding which articles to include in this year's issue as we received a multitude of </w:t>
      </w:r>
      <w:proofErr w:type="gramStart"/>
      <w:r>
        <w:rPr>
          <w:rFonts w:ascii="Times New Roman" w:eastAsia="Times New Roman" w:hAnsi="Times New Roman" w:cs="Times New Roman"/>
          <w:sz w:val="24"/>
          <w:szCs w:val="24"/>
        </w:rPr>
        <w:t>well written</w:t>
      </w:r>
      <w:proofErr w:type="gramEnd"/>
      <w:r>
        <w:rPr>
          <w:rFonts w:ascii="Times New Roman" w:eastAsia="Times New Roman" w:hAnsi="Times New Roman" w:cs="Times New Roman"/>
          <w:sz w:val="24"/>
          <w:szCs w:val="24"/>
        </w:rPr>
        <w:t xml:space="preserve"> and informative submissions. </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careful consideration, we have selected eight articles covering the effects of digital technology on redistribution, securitization theory, media's impact on leadership and activism, artificial intelligence and misinformation. The prize for the best article of the 2020 edition is Caleb Symon's paper Quiet in the eye of the Storm.</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article, written by Tyler Lynch: China Has Brought Forth a Xi Dada: How China is making and breaking the personality cult of Xi Jinping,  outlines how Xi Jinping is eroding norms of political leadership in China and consolidating power through the construction of a cult of personality centred on himself. Specifically, the article explores how Xi centralizes power using propaganda through technology and other platforms. For some among the Chinese Communist Party and the country's civilians, Xi's consolidation of power is cause for concern; however, for most of China, Xi's cult of personality cements his status as a strong leader. </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article of this theme is Caleb Symon's Quiet in the Eye of the Storm. Global climate change is increasing the occurrences of extreme weather events; Hurricane Sandy reflects one of these events. The Hurricane devastated the East Coast of the United States in 2012 and therefore garnered a great deal of media attention. This manuscript provides an analysis of the media's role </w:t>
      </w:r>
      <w:r>
        <w:rPr>
          <w:rFonts w:ascii="Times New Roman" w:eastAsia="Times New Roman" w:hAnsi="Times New Roman" w:cs="Times New Roman"/>
          <w:sz w:val="24"/>
          <w:szCs w:val="24"/>
        </w:rPr>
        <w:lastRenderedPageBreak/>
        <w:t>in shaping public awareness on climate change, using quantitative and qualitative analyses. It concludes that the media fails to link the storm with climate change, and is plagued with biases, which limits the public's understanding of the issue. Without proper reporting, citizens are unable to demand effective solutions through political mobilizations.</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theme, following the same type of information vessel, tackles the impact that media, especially the impact social media has on information transmission. We can find three articles, each displaying the way social media has an effect on relaying information.  </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Jason Goldfarb, the author of Is Social Media Compatible with Deweyan Democracy", wrote a manuscript that applies the lens of John Dewy to discuss the problems that are stemming from the expansion of the internet and the use of social media. Most notably engaging with big tech corporations such as, GAFA (Google, Amazon, Facebook, </w:t>
      </w:r>
      <w:proofErr w:type="gramStart"/>
      <w:r>
        <w:rPr>
          <w:rFonts w:ascii="Times New Roman" w:eastAsia="Times New Roman" w:hAnsi="Times New Roman" w:cs="Times New Roman"/>
          <w:sz w:val="24"/>
          <w:szCs w:val="24"/>
        </w:rPr>
        <w:t>Apple</w:t>
      </w:r>
      <w:proofErr w:type="gramEnd"/>
      <w:r>
        <w:rPr>
          <w:rFonts w:ascii="Times New Roman" w:eastAsia="Times New Roman" w:hAnsi="Times New Roman" w:cs="Times New Roman"/>
          <w:sz w:val="24"/>
          <w:szCs w:val="24"/>
        </w:rPr>
        <w:t xml:space="preserve">). The research question: "is social media compatible with American democracy." The writer responds to this question defining what big social media companies are doing </w:t>
      </w:r>
      <w:proofErr w:type="gramStart"/>
      <w:r>
        <w:rPr>
          <w:rFonts w:ascii="Times New Roman" w:eastAsia="Times New Roman" w:hAnsi="Times New Roman" w:cs="Times New Roman"/>
          <w:sz w:val="24"/>
          <w:szCs w:val="24"/>
        </w:rPr>
        <w:t>at the moment</w:t>
      </w:r>
      <w:proofErr w:type="gramEnd"/>
      <w:r>
        <w:rPr>
          <w:rFonts w:ascii="Times New Roman" w:eastAsia="Times New Roman" w:hAnsi="Times New Roman" w:cs="Times New Roman"/>
          <w:sz w:val="24"/>
          <w:szCs w:val="24"/>
        </w:rPr>
        <w:t xml:space="preserve"> to spread information, as well as highlighting their power to do more.</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this article, is Laura O'Connor's "Digital Activism and the Increased Role of Dalit Activism in Intersectional Feminism in India." This article explores the role of social media in Dalit activism. Indian society today remains organized through a caste system, where Dalits (untouchables) belonging to the lowest caste endure harsh inequalities. Moreover, gender equality is an issue that is largely present in Indian society. The author studies the ways these two dimensions are contested in Indian politics and particularly how online feminist activism pushes forward Dalit activism and how politics are catalyzed by participatory media.</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rise of Celebrity Politicians is an article written by Cassandre Gratton. The article is interested in the rise of 'celebritization of politics,' whereby politicians increasingly borrow from celebrity culture to represent themselves. Borrowing theories from communications and celebrity studies, the article argues that this phenomenon </w:t>
      </w:r>
      <w:proofErr w:type="gramStart"/>
      <w:r>
        <w:rPr>
          <w:rFonts w:ascii="Times New Roman" w:eastAsia="Times New Roman" w:hAnsi="Times New Roman" w:cs="Times New Roman"/>
          <w:sz w:val="24"/>
          <w:szCs w:val="24"/>
        </w:rPr>
        <w:t>can be tied</w:t>
      </w:r>
      <w:proofErr w:type="gramEnd"/>
      <w:r>
        <w:rPr>
          <w:rFonts w:ascii="Times New Roman" w:eastAsia="Times New Roman" w:hAnsi="Times New Roman" w:cs="Times New Roman"/>
          <w:sz w:val="24"/>
          <w:szCs w:val="24"/>
        </w:rPr>
        <w:t xml:space="preserve"> to already existing socio-cultural trends and the popular use of social media. The article analyses </w:t>
      </w:r>
      <w:proofErr w:type="gramStart"/>
      <w:r>
        <w:rPr>
          <w:rFonts w:ascii="Times New Roman" w:eastAsia="Times New Roman" w:hAnsi="Times New Roman" w:cs="Times New Roman"/>
          <w:sz w:val="24"/>
          <w:szCs w:val="24"/>
        </w:rPr>
        <w:t>prime minister</w:t>
      </w:r>
      <w:proofErr w:type="gramEnd"/>
      <w:r>
        <w:rPr>
          <w:rFonts w:ascii="Times New Roman" w:eastAsia="Times New Roman" w:hAnsi="Times New Roman" w:cs="Times New Roman"/>
          <w:sz w:val="24"/>
          <w:szCs w:val="24"/>
        </w:rPr>
        <w:t xml:space="preserve"> Justin Trudeau as a case study to support the claim. Based on empirical studies, the author demonstrates that Trudeau uses social media as a tool to capitalize on recent socio-cultural trends </w:t>
      </w:r>
      <w:proofErr w:type="gramStart"/>
      <w:r>
        <w:rPr>
          <w:rFonts w:ascii="Times New Roman" w:eastAsia="Times New Roman" w:hAnsi="Times New Roman" w:cs="Times New Roman"/>
          <w:sz w:val="24"/>
          <w:szCs w:val="24"/>
        </w:rPr>
        <w:t>showcasing</w:t>
      </w:r>
      <w:proofErr w:type="gramEnd"/>
      <w:r>
        <w:rPr>
          <w:rFonts w:ascii="Times New Roman" w:eastAsia="Times New Roman" w:hAnsi="Times New Roman" w:cs="Times New Roman"/>
          <w:sz w:val="24"/>
          <w:szCs w:val="24"/>
        </w:rPr>
        <w:t xml:space="preserve"> himself in newly personalized ways. </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them-part </w:t>
      </w:r>
      <w:proofErr w:type="gramStart"/>
      <w:r>
        <w:rPr>
          <w:rFonts w:ascii="Times New Roman" w:eastAsia="Times New Roman" w:hAnsi="Times New Roman" w:cs="Times New Roman"/>
          <w:sz w:val="24"/>
          <w:szCs w:val="24"/>
        </w:rPr>
        <w:t>is based</w:t>
      </w:r>
      <w:proofErr w:type="gramEnd"/>
      <w:r>
        <w:rPr>
          <w:rFonts w:ascii="Times New Roman" w:eastAsia="Times New Roman" w:hAnsi="Times New Roman" w:cs="Times New Roman"/>
          <w:sz w:val="24"/>
          <w:szCs w:val="24"/>
        </w:rPr>
        <w:t xml:space="preserve"> on various themes that we were not able related to put in exact categories. Following is "Digital Technology: Effects on Distribution of Wealth and Resources and Climate Change by "Ian Granit's piece. The article aims to answer the question of how digital technologies have </w:t>
      </w:r>
      <w:proofErr w:type="gramStart"/>
      <w:r>
        <w:rPr>
          <w:rFonts w:ascii="Times New Roman" w:eastAsia="Times New Roman" w:hAnsi="Times New Roman" w:cs="Times New Roman"/>
          <w:sz w:val="24"/>
          <w:szCs w:val="24"/>
        </w:rPr>
        <w:t>impacted</w:t>
      </w:r>
      <w:proofErr w:type="gramEnd"/>
      <w:r>
        <w:rPr>
          <w:rFonts w:ascii="Times New Roman" w:eastAsia="Times New Roman" w:hAnsi="Times New Roman" w:cs="Times New Roman"/>
          <w:sz w:val="24"/>
          <w:szCs w:val="24"/>
        </w:rPr>
        <w:t xml:space="preserve"> the distribution of wealth in relation to resources and climate change. The research brought forth highlights an important and generally understudied intersection of the political field, touching on aspects of development as well. Each aspect of study </w:t>
      </w:r>
      <w:proofErr w:type="gramStart"/>
      <w:r>
        <w:rPr>
          <w:rFonts w:ascii="Times New Roman" w:eastAsia="Times New Roman" w:hAnsi="Times New Roman" w:cs="Times New Roman"/>
          <w:sz w:val="24"/>
          <w:szCs w:val="24"/>
        </w:rPr>
        <w:t>is analyzed</w:t>
      </w:r>
      <w:proofErr w:type="gramEnd"/>
      <w:r>
        <w:rPr>
          <w:rFonts w:ascii="Times New Roman" w:eastAsia="Times New Roman" w:hAnsi="Times New Roman" w:cs="Times New Roman"/>
          <w:sz w:val="24"/>
          <w:szCs w:val="24"/>
        </w:rPr>
        <w:t xml:space="preserve"> thoroughly on an individual level, meaning that key concepts and how they are interrelated are </w:t>
      </w:r>
      <w:r>
        <w:rPr>
          <w:rFonts w:ascii="Times New Roman" w:eastAsia="Times New Roman" w:hAnsi="Times New Roman" w:cs="Times New Roman"/>
          <w:sz w:val="24"/>
          <w:szCs w:val="24"/>
        </w:rPr>
        <w:lastRenderedPageBreak/>
        <w:t xml:space="preserve">made clear to the audience. While the work is theoretical in nature, this is to be expected as many of the themes being considered are currently occurring and pertinent data may not have been published as of yet. The findings conclude that access to digital technology, or the lack thereof, may exacerbate inequalities produced by climate change and wealth/resource distribution, but that all three factors are interrelated and often form correlations. This discussion adds to our volume's theme of politics in the digital age splendidly by looking to the future state of global access to resources within the increasingly relevant environmental framework."        </w:t>
      </w:r>
    </w:p>
    <w:p w:rsidR="00C30C8B" w:rsidRDefault="00C30C8B">
      <w:pPr>
        <w:jc w:val="both"/>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comes Noah T Archibald's "Cybersecurity and Critical Infrastructure: An Analysis of Securitization Theory." In relevance to the theme of this edition's journal, "politics in the digital age," Archibald ultimately creates a meta-analysis that examines the many insecurities in Canadian infrastructure and proposes potential solutions to this issue. Additionally, examples from various forms of cybersecurity, on a national and global scale, </w:t>
      </w:r>
      <w:proofErr w:type="gramStart"/>
      <w:r>
        <w:rPr>
          <w:rFonts w:ascii="Times New Roman" w:eastAsia="Times New Roman" w:hAnsi="Times New Roman" w:cs="Times New Roman"/>
          <w:sz w:val="24"/>
          <w:szCs w:val="24"/>
        </w:rPr>
        <w:t>are also incorporated</w:t>
      </w:r>
      <w:proofErr w:type="gramEnd"/>
      <w:r>
        <w:rPr>
          <w:rFonts w:ascii="Times New Roman" w:eastAsia="Times New Roman" w:hAnsi="Times New Roman" w:cs="Times New Roman"/>
          <w:sz w:val="24"/>
          <w:szCs w:val="24"/>
        </w:rPr>
        <w:t xml:space="preserve"> to enhance the understanding of securitization of Canada's critical infrastructure. </w:t>
      </w:r>
      <w:proofErr w:type="gramStart"/>
      <w:r>
        <w:rPr>
          <w:rFonts w:ascii="Times New Roman" w:eastAsia="Times New Roman" w:hAnsi="Times New Roman" w:cs="Times New Roman"/>
          <w:sz w:val="24"/>
          <w:szCs w:val="24"/>
        </w:rPr>
        <w:t>To further investigate</w:t>
      </w:r>
      <w:proofErr w:type="gramEnd"/>
      <w:r>
        <w:rPr>
          <w:rFonts w:ascii="Times New Roman" w:eastAsia="Times New Roman" w:hAnsi="Times New Roman" w:cs="Times New Roman"/>
          <w:sz w:val="24"/>
          <w:szCs w:val="24"/>
        </w:rPr>
        <w:t xml:space="preserve"> these examples, Archibald uses the Copenhagen School approach when conducting a review of the literature to explain how current policies and legislation affect the securitization of Canada's critical infrastructure. </w:t>
      </w: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1E516C" w:rsidRDefault="001E516C">
      <w:pPr>
        <w:spacing w:line="480" w:lineRule="auto"/>
        <w:rPr>
          <w:rFonts w:ascii="Times New Roman" w:eastAsia="Times New Roman" w:hAnsi="Times New Roman" w:cs="Times New Roman"/>
          <w:b/>
          <w:sz w:val="24"/>
          <w:szCs w:val="24"/>
        </w:rPr>
      </w:pPr>
    </w:p>
    <w:p w:rsidR="001E516C" w:rsidRDefault="001E516C">
      <w:pPr>
        <w:spacing w:line="480" w:lineRule="auto"/>
        <w:rPr>
          <w:rFonts w:ascii="Times New Roman" w:eastAsia="Times New Roman" w:hAnsi="Times New Roman" w:cs="Times New Roman"/>
          <w:b/>
          <w:sz w:val="24"/>
          <w:szCs w:val="24"/>
        </w:rPr>
      </w:pPr>
    </w:p>
    <w:p w:rsidR="001E516C" w:rsidRDefault="001E516C">
      <w:pPr>
        <w:spacing w:line="480" w:lineRule="auto"/>
        <w:rPr>
          <w:rFonts w:ascii="Times New Roman" w:eastAsia="Times New Roman" w:hAnsi="Times New Roman" w:cs="Times New Roman"/>
          <w:b/>
          <w:sz w:val="24"/>
          <w:szCs w:val="24"/>
        </w:rPr>
      </w:pPr>
    </w:p>
    <w:p w:rsidR="001E516C" w:rsidRDefault="001E516C">
      <w:pPr>
        <w:spacing w:line="480" w:lineRule="auto"/>
        <w:rPr>
          <w:rFonts w:ascii="Times New Roman" w:eastAsia="Times New Roman" w:hAnsi="Times New Roman" w:cs="Times New Roman"/>
          <w:b/>
          <w:sz w:val="24"/>
          <w:szCs w:val="24"/>
        </w:rPr>
      </w:pPr>
    </w:p>
    <w:p w:rsidR="001E516C" w:rsidRDefault="001E516C">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1E516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of Contents </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Technology: Effects on Distribution of Wealth and Resources and Climate Change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7</w:t>
      </w:r>
    </w:p>
    <w:p w:rsidR="00C30C8B" w:rsidRDefault="001E516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Ian Magnus Granit</w:t>
      </w:r>
    </w:p>
    <w:p w:rsidR="00C30C8B" w:rsidRDefault="00C30C8B">
      <w:pPr>
        <w:rPr>
          <w:rFonts w:ascii="Times New Roman" w:eastAsia="Times New Roman" w:hAnsi="Times New Roman" w:cs="Times New Roman"/>
          <w:i/>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Cybersecurity and Critical Infrastructure: An Analysis of </w:t>
      </w:r>
      <w:r w:rsidR="000E531A">
        <w:rPr>
          <w:rFonts w:ascii="Times New Roman" w:eastAsia="Times New Roman" w:hAnsi="Times New Roman" w:cs="Times New Roman"/>
          <w:sz w:val="24"/>
          <w:szCs w:val="24"/>
        </w:rPr>
        <w:t xml:space="preserve">Securitization Theory </w:t>
      </w:r>
      <w:proofErr w:type="gramStart"/>
      <w:r w:rsidR="000E531A">
        <w:rPr>
          <w:rFonts w:ascii="Times New Roman" w:eastAsia="Times New Roman" w:hAnsi="Times New Roman" w:cs="Times New Roman"/>
          <w:sz w:val="24"/>
          <w:szCs w:val="24"/>
        </w:rPr>
        <w:t>……………...</w:t>
      </w:r>
      <w:proofErr w:type="gramEnd"/>
      <w:r w:rsidR="000E531A">
        <w:rPr>
          <w:rFonts w:ascii="Times New Roman" w:eastAsia="Times New Roman" w:hAnsi="Times New Roman" w:cs="Times New Roman"/>
          <w:sz w:val="24"/>
          <w:szCs w:val="24"/>
        </w:rPr>
        <w:t>39</w:t>
      </w:r>
    </w:p>
    <w:p w:rsidR="00C30C8B" w:rsidRDefault="001E516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Noah T Archibald</w:t>
      </w:r>
    </w:p>
    <w:p w:rsidR="00C30C8B" w:rsidRDefault="00C30C8B">
      <w:pPr>
        <w:rPr>
          <w:rFonts w:ascii="Times New Roman" w:eastAsia="Times New Roman" w:hAnsi="Times New Roman" w:cs="Times New Roman"/>
          <w:i/>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War on Terror in China: an assessment of Securitization of the Xinjiang Uyghur Autonomous   Regio</w:t>
      </w:r>
      <w:r w:rsidR="000E531A">
        <w:rPr>
          <w:rFonts w:ascii="Times New Roman" w:eastAsia="Times New Roman" w:hAnsi="Times New Roman" w:cs="Times New Roman"/>
          <w:sz w:val="24"/>
          <w:szCs w:val="24"/>
        </w:rPr>
        <w:t>n……………………………………………………………………………55</w:t>
      </w:r>
    </w:p>
    <w:p w:rsidR="00C30C8B" w:rsidRDefault="001E516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Anoosheh Majidi Gerdeh</w:t>
      </w:r>
    </w:p>
    <w:p w:rsidR="00C30C8B" w:rsidRDefault="00C30C8B">
      <w:pPr>
        <w:rPr>
          <w:rFonts w:ascii="Times New Roman" w:eastAsia="Times New Roman" w:hAnsi="Times New Roman" w:cs="Times New Roman"/>
          <w:i/>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China Has Brought Forth a Xi Dada: How China is making and breaking the personality cult of Xi Jinping</w:t>
      </w:r>
      <w:proofErr w:type="gramStart"/>
      <w:r>
        <w:rPr>
          <w:rFonts w:ascii="Times New Roman" w:eastAsia="Times New Roman" w:hAnsi="Times New Roman" w:cs="Times New Roman"/>
          <w:sz w:val="24"/>
          <w:szCs w:val="24"/>
        </w:rPr>
        <w:t>………………</w:t>
      </w:r>
      <w:r w:rsidR="000E531A">
        <w:rPr>
          <w:rFonts w:ascii="Times New Roman" w:eastAsia="Times New Roman" w:hAnsi="Times New Roman" w:cs="Times New Roman"/>
          <w:sz w:val="24"/>
          <w:szCs w:val="24"/>
        </w:rPr>
        <w:t>………………………………………………………………………...</w:t>
      </w:r>
      <w:proofErr w:type="gramEnd"/>
      <w:r w:rsidR="000E531A">
        <w:rPr>
          <w:rFonts w:ascii="Times New Roman" w:eastAsia="Times New Roman" w:hAnsi="Times New Roman" w:cs="Times New Roman"/>
          <w:sz w:val="24"/>
          <w:szCs w:val="24"/>
        </w:rPr>
        <w:t>74</w:t>
      </w:r>
    </w:p>
    <w:p w:rsidR="00C30C8B" w:rsidRDefault="001E516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Tyler Lynch </w:t>
      </w:r>
    </w:p>
    <w:p w:rsidR="00C30C8B" w:rsidRDefault="00C30C8B">
      <w:pPr>
        <w:rPr>
          <w:rFonts w:ascii="Times New Roman" w:eastAsia="Times New Roman" w:hAnsi="Times New Roman" w:cs="Times New Roman"/>
          <w:i/>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Quiet in the Eye of the Storm…………………………………………………………………</w:t>
      </w:r>
      <w:r w:rsidR="000E531A">
        <w:rPr>
          <w:rFonts w:ascii="Times New Roman" w:eastAsia="Times New Roman" w:hAnsi="Times New Roman" w:cs="Times New Roman"/>
          <w:sz w:val="24"/>
          <w:szCs w:val="24"/>
        </w:rPr>
        <w:t>…86</w:t>
      </w:r>
    </w:p>
    <w:p w:rsidR="00C30C8B" w:rsidRDefault="001E516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Caleb Symons </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Is Social Media Compatible with Dew</w:t>
      </w:r>
      <w:r w:rsidR="000E531A">
        <w:rPr>
          <w:rFonts w:ascii="Times New Roman" w:eastAsia="Times New Roman" w:hAnsi="Times New Roman" w:cs="Times New Roman"/>
          <w:sz w:val="24"/>
          <w:szCs w:val="24"/>
        </w:rPr>
        <w:t>eyan Democracy………………………………………110</w:t>
      </w:r>
    </w:p>
    <w:p w:rsidR="00C30C8B" w:rsidRDefault="001E516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Jason Goldfarb </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Activism and the Increased Role of Dalit </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Activism in Intersectional Feminism in India</w:t>
      </w:r>
      <w:proofErr w:type="gramStart"/>
      <w:r>
        <w:rPr>
          <w:rFonts w:ascii="Times New Roman" w:eastAsia="Times New Roman" w:hAnsi="Times New Roman" w:cs="Times New Roman"/>
          <w:sz w:val="24"/>
          <w:szCs w:val="24"/>
        </w:rPr>
        <w:t>………………………</w:t>
      </w:r>
      <w:r w:rsidR="000E531A">
        <w:rPr>
          <w:rFonts w:ascii="Times New Roman" w:eastAsia="Times New Roman" w:hAnsi="Times New Roman" w:cs="Times New Roman"/>
          <w:sz w:val="24"/>
          <w:szCs w:val="24"/>
        </w:rPr>
        <w:t>…………………………………………………………………....</w:t>
      </w:r>
      <w:proofErr w:type="gramEnd"/>
      <w:r w:rsidR="000E531A">
        <w:rPr>
          <w:rFonts w:ascii="Times New Roman" w:eastAsia="Times New Roman" w:hAnsi="Times New Roman" w:cs="Times New Roman"/>
          <w:sz w:val="24"/>
          <w:szCs w:val="24"/>
        </w:rPr>
        <w:t>134</w:t>
      </w:r>
    </w:p>
    <w:p w:rsidR="00C30C8B" w:rsidRDefault="001E516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Laura O’Connor</w:t>
      </w:r>
    </w:p>
    <w:p w:rsidR="00C30C8B" w:rsidRDefault="00C30C8B">
      <w:pPr>
        <w:rPr>
          <w:rFonts w:ascii="Times New Roman" w:eastAsia="Times New Roman" w:hAnsi="Times New Roman" w:cs="Times New Roman"/>
          <w:i/>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Rise of Celebrity Politicians……………………………………………………</w:t>
      </w:r>
      <w:r w:rsidR="000E531A">
        <w:rPr>
          <w:rFonts w:ascii="Times New Roman" w:eastAsia="Times New Roman" w:hAnsi="Times New Roman" w:cs="Times New Roman"/>
          <w:sz w:val="24"/>
          <w:szCs w:val="24"/>
        </w:rPr>
        <w:t>…………156</w:t>
      </w:r>
    </w:p>
    <w:p w:rsidR="00C30C8B" w:rsidRDefault="001E516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Cassandre Gratton </w:t>
      </w:r>
    </w:p>
    <w:p w:rsidR="00C30C8B" w:rsidRDefault="00C30C8B">
      <w:pPr>
        <w:rPr>
          <w:rFonts w:ascii="Times New Roman" w:eastAsia="Times New Roman" w:hAnsi="Times New Roman" w:cs="Times New Roman"/>
          <w:i/>
          <w:sz w:val="24"/>
          <w:szCs w:val="24"/>
        </w:rPr>
      </w:pPr>
    </w:p>
    <w:p w:rsidR="00C30C8B" w:rsidRDefault="00C30C8B">
      <w:pPr>
        <w:rPr>
          <w:rFonts w:ascii="Times New Roman" w:eastAsia="Times New Roman" w:hAnsi="Times New Roman" w:cs="Times New Roman"/>
          <w:i/>
          <w:sz w:val="24"/>
          <w:szCs w:val="24"/>
        </w:rPr>
      </w:pPr>
    </w:p>
    <w:p w:rsidR="00C30C8B" w:rsidRDefault="00C30C8B">
      <w:pPr>
        <w:rPr>
          <w:rFonts w:ascii="Times New Roman" w:eastAsia="Times New Roman" w:hAnsi="Times New Roman" w:cs="Times New Roman"/>
          <w:i/>
          <w:sz w:val="24"/>
          <w:szCs w:val="24"/>
        </w:rPr>
      </w:pPr>
    </w:p>
    <w:p w:rsidR="00C30C8B" w:rsidRDefault="00C30C8B">
      <w:pPr>
        <w:spacing w:after="160" w:line="480" w:lineRule="auto"/>
        <w:rPr>
          <w:rFonts w:ascii="Times New Roman" w:eastAsia="Times New Roman" w:hAnsi="Times New Roman" w:cs="Times New Roman"/>
          <w:b/>
          <w:sz w:val="24"/>
          <w:szCs w:val="24"/>
        </w:rPr>
      </w:pPr>
    </w:p>
    <w:p w:rsidR="001E516C" w:rsidRDefault="001E516C">
      <w:pPr>
        <w:spacing w:after="160" w:line="480" w:lineRule="auto"/>
        <w:rPr>
          <w:rFonts w:ascii="Times New Roman" w:eastAsia="Times New Roman" w:hAnsi="Times New Roman" w:cs="Times New Roman"/>
          <w:b/>
          <w:sz w:val="24"/>
          <w:szCs w:val="24"/>
        </w:rPr>
      </w:pPr>
    </w:p>
    <w:p w:rsidR="001E516C" w:rsidRDefault="001E516C">
      <w:pPr>
        <w:spacing w:after="160" w:line="480" w:lineRule="auto"/>
        <w:rPr>
          <w:rFonts w:ascii="Times New Roman" w:eastAsia="Times New Roman" w:hAnsi="Times New Roman" w:cs="Times New Roman"/>
          <w:b/>
          <w:sz w:val="24"/>
          <w:szCs w:val="24"/>
        </w:rPr>
      </w:pPr>
    </w:p>
    <w:p w:rsidR="001E516C" w:rsidRDefault="001E516C">
      <w:pPr>
        <w:spacing w:after="160" w:line="480" w:lineRule="auto"/>
        <w:rPr>
          <w:rFonts w:ascii="Times New Roman" w:eastAsia="Times New Roman" w:hAnsi="Times New Roman" w:cs="Times New Roman"/>
          <w:b/>
          <w:sz w:val="24"/>
          <w:szCs w:val="24"/>
        </w:rPr>
      </w:pPr>
    </w:p>
    <w:p w:rsidR="00C30C8B" w:rsidRDefault="001E516C">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The Digital Divide: Effects on Distribution of Wealth and Resources and Climate Change</w:t>
      </w:r>
    </w:p>
    <w:p w:rsidR="00C30C8B" w:rsidRDefault="00C30C8B">
      <w:pPr>
        <w:spacing w:after="160"/>
        <w:rPr>
          <w:rFonts w:ascii="Times New Roman" w:eastAsia="Times New Roman" w:hAnsi="Times New Roman" w:cs="Times New Roman"/>
          <w:b/>
          <w:sz w:val="24"/>
          <w:szCs w:val="24"/>
        </w:rPr>
      </w:pPr>
    </w:p>
    <w:p w:rsidR="00C30C8B" w:rsidRDefault="001E516C">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Ian Magnus Granit, Griffith University, Queensland, Australia</w:t>
      </w:r>
    </w:p>
    <w:p w:rsidR="00C30C8B" w:rsidRDefault="00C30C8B">
      <w:pPr>
        <w:spacing w:after="160"/>
        <w:rPr>
          <w:rFonts w:ascii="Times New Roman" w:eastAsia="Times New Roman" w:hAnsi="Times New Roman" w:cs="Times New Roman"/>
          <w:b/>
          <w:sz w:val="24"/>
          <w:szCs w:val="24"/>
        </w:rPr>
      </w:pP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rsidR="00C30C8B" w:rsidRDefault="001E516C" w:rsidP="00855395">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usage of digital technology is increasing rapidly among all countries around the world. Access and knowledge in how to use digital technology is however not </w:t>
      </w:r>
      <w:proofErr w:type="gramStart"/>
      <w:r>
        <w:rPr>
          <w:rFonts w:ascii="Times New Roman" w:eastAsia="Times New Roman" w:hAnsi="Times New Roman" w:cs="Times New Roman"/>
          <w:sz w:val="24"/>
          <w:szCs w:val="24"/>
        </w:rPr>
        <w:t>equal, which create numerous problems in societies</w:t>
      </w:r>
      <w:proofErr w:type="gramEnd"/>
      <w:r>
        <w:rPr>
          <w:rFonts w:ascii="Times New Roman" w:eastAsia="Times New Roman" w:hAnsi="Times New Roman" w:cs="Times New Roman"/>
          <w:sz w:val="24"/>
          <w:szCs w:val="24"/>
        </w:rPr>
        <w:t xml:space="preserve">. Firstly, this paper will focus on how digital technology impacts the distribution of wealth and resources; secondly, how digital technology affects climate change; and thirdly, how the inequality created by the digital divide leads to further environmental degradation, while climate change leads to further inequality. The focus of this paper is how the usage of digital technology effects the distribution of wealth and resources and climate change within countries. A differentiation between developing and developed countries is made throughout the paper, and a comparison is made on how digital technology affect within country situations depending on whether the country considered </w:t>
      </w:r>
      <w:proofErr w:type="gramStart"/>
      <w:r>
        <w:rPr>
          <w:rFonts w:ascii="Times New Roman" w:eastAsia="Times New Roman" w:hAnsi="Times New Roman" w:cs="Times New Roman"/>
          <w:sz w:val="24"/>
          <w:szCs w:val="24"/>
        </w:rPr>
        <w:t>to be</w:t>
      </w:r>
      <w:proofErr w:type="gramEnd"/>
      <w:r>
        <w:rPr>
          <w:rFonts w:ascii="Times New Roman" w:eastAsia="Times New Roman" w:hAnsi="Times New Roman" w:cs="Times New Roman"/>
          <w:sz w:val="24"/>
          <w:szCs w:val="24"/>
        </w:rPr>
        <w:t xml:space="preserve"> developing or developed. Findings include that the current usage of digital technology increase unequal distribution of wealth and resources due to the digital </w:t>
      </w:r>
      <w:proofErr w:type="gramStart"/>
      <w:r>
        <w:rPr>
          <w:rFonts w:ascii="Times New Roman" w:eastAsia="Times New Roman" w:hAnsi="Times New Roman" w:cs="Times New Roman"/>
          <w:sz w:val="24"/>
          <w:szCs w:val="24"/>
        </w:rPr>
        <w:t>divide,</w:t>
      </w:r>
      <w:proofErr w:type="gramEnd"/>
      <w:r>
        <w:rPr>
          <w:rFonts w:ascii="Times New Roman" w:eastAsia="Times New Roman" w:hAnsi="Times New Roman" w:cs="Times New Roman"/>
          <w:sz w:val="24"/>
          <w:szCs w:val="24"/>
        </w:rPr>
        <w:t xml:space="preserve"> and further exacerbated climate change through increased natural resource extraction, increased energy usage, and electronic waste. In addition, findings include that inequality further exacerbate climate change, while climate change increase already existing inequalities. A literature review of the existing academic literature on the diverse topics covered in this paper is used as a methodology, with an </w:t>
      </w:r>
      <w:proofErr w:type="gramStart"/>
      <w:r>
        <w:rPr>
          <w:rFonts w:ascii="Times New Roman" w:eastAsia="Times New Roman" w:hAnsi="Times New Roman" w:cs="Times New Roman"/>
          <w:sz w:val="24"/>
          <w:szCs w:val="24"/>
        </w:rPr>
        <w:t>analysis which</w:t>
      </w:r>
      <w:proofErr w:type="gramEnd"/>
      <w:r>
        <w:rPr>
          <w:rFonts w:ascii="Times New Roman" w:eastAsia="Times New Roman" w:hAnsi="Times New Roman" w:cs="Times New Roman"/>
          <w:sz w:val="24"/>
          <w:szCs w:val="24"/>
        </w:rPr>
        <w:t xml:space="preserve"> draw these seemingly different subjects together.</w:t>
      </w:r>
    </w:p>
    <w:p w:rsidR="00C30C8B" w:rsidRDefault="00C30C8B">
      <w:pPr>
        <w:spacing w:after="160"/>
        <w:rPr>
          <w:rFonts w:ascii="Times New Roman" w:eastAsia="Times New Roman" w:hAnsi="Times New Roman" w:cs="Times New Roman"/>
          <w:b/>
          <w:sz w:val="24"/>
          <w:szCs w:val="24"/>
        </w:rPr>
      </w:pP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 xml:space="preserve">Climate Change; Digital Politics; Wealth Distribution; Environmental Degradation; Inequalities; Technology; Wealth; Resources. </w:t>
      </w:r>
    </w:p>
    <w:p w:rsidR="00C30C8B" w:rsidRDefault="00C30C8B">
      <w:pPr>
        <w:spacing w:after="160" w:line="480" w:lineRule="auto"/>
        <w:rPr>
          <w:rFonts w:ascii="Times New Roman" w:eastAsia="Times New Roman" w:hAnsi="Times New Roman" w:cs="Times New Roman"/>
          <w:sz w:val="24"/>
          <w:szCs w:val="24"/>
        </w:rPr>
      </w:pPr>
    </w:p>
    <w:p w:rsidR="00C30C8B" w:rsidRDefault="001E516C">
      <w:pPr>
        <w:spacing w:after="160" w:line="480" w:lineRule="auto"/>
        <w:rPr>
          <w:rFonts w:ascii="Times New Roman" w:eastAsia="Times New Roman" w:hAnsi="Times New Roman" w:cs="Times New Roman"/>
          <w:b/>
          <w:sz w:val="24"/>
          <w:szCs w:val="24"/>
        </w:rPr>
      </w:pPr>
      <w:r>
        <w:br w:type="page"/>
      </w:r>
    </w:p>
    <w:p w:rsidR="00C30C8B" w:rsidRDefault="001E516C" w:rsidP="00EF2EA7">
      <w:pPr>
        <w:spacing w:after="160" w:line="480"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rsidR="00C30C8B" w:rsidRDefault="001E516C" w:rsidP="00EF2EA7">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usage of technology has increased substantially since the industrial revolution, which </w:t>
      </w:r>
      <w:proofErr w:type="gramStart"/>
      <w:r>
        <w:rPr>
          <w:rFonts w:ascii="Times New Roman" w:eastAsia="Times New Roman" w:hAnsi="Times New Roman" w:cs="Times New Roman"/>
          <w:sz w:val="24"/>
          <w:szCs w:val="24"/>
        </w:rPr>
        <w:t>has been further aggravated</w:t>
      </w:r>
      <w:proofErr w:type="gramEnd"/>
      <w:r>
        <w:rPr>
          <w:rFonts w:ascii="Times New Roman" w:eastAsia="Times New Roman" w:hAnsi="Times New Roman" w:cs="Times New Roman"/>
          <w:sz w:val="24"/>
          <w:szCs w:val="24"/>
        </w:rPr>
        <w:t xml:space="preserve"> by the rapid development of digital technology in the past decades (Tomory, 2016; Van Dijk, 2012). Technology is, to some degree affecting all human beings who are currently living in modern societies and playing an increasingly essential role in people’s everyday lives (Fuchs &amp; Horak, 2008). The increased usage of technology has created tremendous economic growth and raised the standard of living for people around the world (Jaumotte, Lall, &amp; Papagergiou, 2013; Arocena &amp; Senker, 2003). Since digital technology emerged on the world stage, a diverse set of opinions on how the digital technology would affect human societies developed (Fong, 2009; Bretschger, 2005; Fuchs &amp; Horak, 2008; Van Dijk, 2012). The favourable presumptions of digital technologies predicted that it would improve social equality, increase social mobility, foster economic equality, promote e-democracy, and create further economic growth and innovations (Fong, 2009; Bretschger, 2005).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rapid technological development of the industrial revolution spread worldwide without adequate knowledge of these new technologies affects the environment. Reckless usage of technology, accelerating abilities to extract natural resources, growing consumption, and increasing amounts of waste have had detrimental effects on the environment and led to further intensifying climate change. At the same time, as the emergence of digital technologies on the world market in the 1980s, the recognition of contemporary climate change </w:t>
      </w:r>
      <w:proofErr w:type="gramStart"/>
      <w:r>
        <w:rPr>
          <w:rFonts w:ascii="Times New Roman" w:eastAsia="Times New Roman" w:hAnsi="Times New Roman" w:cs="Times New Roman"/>
          <w:sz w:val="24"/>
          <w:szCs w:val="24"/>
        </w:rPr>
        <w:t>was recognised</w:t>
      </w:r>
      <w:proofErr w:type="gramEnd"/>
      <w:r>
        <w:rPr>
          <w:rFonts w:ascii="Times New Roman" w:eastAsia="Times New Roman" w:hAnsi="Times New Roman" w:cs="Times New Roman"/>
          <w:sz w:val="24"/>
          <w:szCs w:val="24"/>
        </w:rPr>
        <w:t xml:space="preserve"> as primarily a human-induced problem. Digital technologies have been speculated to be the solution to many of the environmental issues that earth and our societies are facing today, primarily through improved efficiency in a diverse set of aspects, minimizing the need of using natural resources, </w:t>
      </w:r>
      <w:r>
        <w:rPr>
          <w:rFonts w:ascii="Times New Roman" w:eastAsia="Times New Roman" w:hAnsi="Times New Roman" w:cs="Times New Roman"/>
          <w:sz w:val="24"/>
          <w:szCs w:val="24"/>
        </w:rPr>
        <w:lastRenderedPageBreak/>
        <w:t xml:space="preserve">less travel due to increasing interconnectedness through digital technologies, and more sustainable energy options (Bretschger, 2005; Hilty &amp; Ruddy, 2010).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digital technologies started to emerge on the market, and until this day, two significant problems are still present. Unequal distribution of wealth and resources within countries are increasing, especially since the 1980s (Jaumotte et al., 2013; Cushing, Morello-Frosch, Wander &amp; Pastor, 2015; Berthe and Elie, 2015). Environmental degradation and climate change have been exacerbating at a faster pace than ever before in modern history, exceeding previously predicted rates the past decades (Nasrollahi, Hashemi, Bameri &amp; Taghvaee, 2018; Steffen, Grinevald, Crutzen &amp; McNeill, 2011). Digital technologies have thus far been failing to live up to the expectations of increasing equality and solving the issues of climate change. Instead, since the emergence of digital technologies, both inequality and climate change are growing more rapidly than ever before in recorded human history.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rapid development of digital technologies and subsequent differential access to new technologies, a digital divide occurs between people who have access to technology and the people who do not (Fuchs &amp; Horak, 2008). Since digital technologies started to spread around the world, and within countries, the digital divide </w:t>
      </w:r>
      <w:proofErr w:type="gramStart"/>
      <w:r>
        <w:rPr>
          <w:rFonts w:ascii="Times New Roman" w:eastAsia="Times New Roman" w:hAnsi="Times New Roman" w:cs="Times New Roman"/>
          <w:sz w:val="24"/>
          <w:szCs w:val="24"/>
        </w:rPr>
        <w:t>was estimated</w:t>
      </w:r>
      <w:proofErr w:type="gramEnd"/>
      <w:r>
        <w:rPr>
          <w:rFonts w:ascii="Times New Roman" w:eastAsia="Times New Roman" w:hAnsi="Times New Roman" w:cs="Times New Roman"/>
          <w:sz w:val="24"/>
          <w:szCs w:val="24"/>
        </w:rPr>
        <w:t xml:space="preserve"> to decrease (Fuchs &amp; Horak, 2008). On the contrary, the digital divide is continuing to increase rapidly (Mubarak, 2015). Furthermore, the production of digital technologies requires a significant amount of metals and depletable natural resources (Chancerel et al., 2015), generating a vast amount of electronic waste (e-waste) (Krishnamoorthy, 2018), and the usage of digital technologies requires substantial volumes of energy (Belkhir &amp; Elmeligi, 2018). The impact of the production, e-waste, and usage of digital technologies create many adverse side effects such as increased climate change, pollution, environmental hazards, and environmental degradation.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solutions to unequal distribution of wealth and increasing climate change are complex and need a vast array of interdisciplinary measures to </w:t>
      </w:r>
      <w:proofErr w:type="gramStart"/>
      <w:r>
        <w:rPr>
          <w:rFonts w:ascii="Times New Roman" w:eastAsia="Times New Roman" w:hAnsi="Times New Roman" w:cs="Times New Roman"/>
          <w:sz w:val="24"/>
          <w:szCs w:val="24"/>
        </w:rPr>
        <w:t>be solved</w:t>
      </w:r>
      <w:proofErr w:type="gramEnd"/>
      <w:r>
        <w:rPr>
          <w:rFonts w:ascii="Times New Roman" w:eastAsia="Times New Roman" w:hAnsi="Times New Roman" w:cs="Times New Roman"/>
          <w:sz w:val="24"/>
          <w:szCs w:val="24"/>
        </w:rPr>
        <w:t xml:space="preserve">. Economic equality and climate change </w:t>
      </w:r>
      <w:proofErr w:type="gramStart"/>
      <w:r>
        <w:rPr>
          <w:rFonts w:ascii="Times New Roman" w:eastAsia="Times New Roman" w:hAnsi="Times New Roman" w:cs="Times New Roman"/>
          <w:sz w:val="24"/>
          <w:szCs w:val="24"/>
        </w:rPr>
        <w:t>are affected</w:t>
      </w:r>
      <w:proofErr w:type="gramEnd"/>
      <w:r>
        <w:rPr>
          <w:rFonts w:ascii="Times New Roman" w:eastAsia="Times New Roman" w:hAnsi="Times New Roman" w:cs="Times New Roman"/>
          <w:sz w:val="24"/>
          <w:szCs w:val="24"/>
        </w:rPr>
        <w:t xml:space="preserve"> by several factors, such as institutions, political and economic policies, laws, and regulations (Hamann et al., 2018). Digital technology is only a few decades old, and the research field of digital technology’s impact on human societies and climate change is relatively new. Current solutions to both inequality and climate change, thus lack adequately considering digital technologies effect on these aspects (Zeira, 2007; Yu, Ndumu, Mon &amp; Fan, 2018). The impact of not analysing all </w:t>
      </w:r>
      <w:proofErr w:type="gramStart"/>
      <w:r>
        <w:rPr>
          <w:rFonts w:ascii="Times New Roman" w:eastAsia="Times New Roman" w:hAnsi="Times New Roman" w:cs="Times New Roman"/>
          <w:sz w:val="24"/>
          <w:szCs w:val="24"/>
        </w:rPr>
        <w:t>factors which affect social issues</w:t>
      </w:r>
      <w:proofErr w:type="gramEnd"/>
      <w:r>
        <w:rPr>
          <w:rFonts w:ascii="Times New Roman" w:eastAsia="Times New Roman" w:hAnsi="Times New Roman" w:cs="Times New Roman"/>
          <w:sz w:val="24"/>
          <w:szCs w:val="24"/>
        </w:rPr>
        <w:t xml:space="preserve"> leads to inappropriate and inadequate solutions, severely undermining the pursuit of socially and environmentally sustainable societies. Due to the fast emergence of digital technology, it is crucial to understand how it affects different parts of our societies and emphasize interdisciplinary approaches that draw different fields of research together to find new solutions to the issue facing our societies.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and developed country is broadly generalised through the paper, due to how the usage and implementation of digital technology differ so far, especially in regards to the distribution of wealth and resources. Based on the literature used, and the United Nations definition of developing versus developed country, the term ‘developed’ country refers to the developed regions as identified by the United Nations, while ‘developing’ country, refers to both the least developed countries and the emerging economies (United Nations, 2019). The generalisation of developing and developed countries are made to simplify the text, and address different problems with digital technology depending on whether a country is considered to be ‘developed’ or ‘developing.’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aims to expand on the existing literature on how digital technology has affected the distribution of wealth and resources, and how the usage of digital technology has affected the environment and climate change. Moreover, how inequality is affecting the environment, and how </w:t>
      </w:r>
      <w:r>
        <w:rPr>
          <w:rFonts w:ascii="Times New Roman" w:eastAsia="Times New Roman" w:hAnsi="Times New Roman" w:cs="Times New Roman"/>
          <w:sz w:val="24"/>
          <w:szCs w:val="24"/>
        </w:rPr>
        <w:lastRenderedPageBreak/>
        <w:t xml:space="preserve">environmental degradation and climate change affects inequality </w:t>
      </w:r>
      <w:proofErr w:type="gramStart"/>
      <w:r>
        <w:rPr>
          <w:rFonts w:ascii="Times New Roman" w:eastAsia="Times New Roman" w:hAnsi="Times New Roman" w:cs="Times New Roman"/>
          <w:sz w:val="24"/>
          <w:szCs w:val="24"/>
        </w:rPr>
        <w:t>will be investigated</w:t>
      </w:r>
      <w:proofErr w:type="gramEnd"/>
      <w:r>
        <w:rPr>
          <w:rFonts w:ascii="Times New Roman" w:eastAsia="Times New Roman" w:hAnsi="Times New Roman" w:cs="Times New Roman"/>
          <w:sz w:val="24"/>
          <w:szCs w:val="24"/>
        </w:rPr>
        <w:t xml:space="preserve">. A literature review of the existing research and academic literature on these topics </w:t>
      </w:r>
      <w:proofErr w:type="gramStart"/>
      <w:r>
        <w:rPr>
          <w:rFonts w:ascii="Times New Roman" w:eastAsia="Times New Roman" w:hAnsi="Times New Roman" w:cs="Times New Roman"/>
          <w:sz w:val="24"/>
          <w:szCs w:val="24"/>
        </w:rPr>
        <w:t>is used</w:t>
      </w:r>
      <w:proofErr w:type="gramEnd"/>
      <w:r>
        <w:rPr>
          <w:rFonts w:ascii="Times New Roman" w:eastAsia="Times New Roman" w:hAnsi="Times New Roman" w:cs="Times New Roman"/>
          <w:sz w:val="24"/>
          <w:szCs w:val="24"/>
        </w:rPr>
        <w:t xml:space="preserve"> as the methodology to achieve these aims. The argument made throughout this paper </w:t>
      </w:r>
      <w:proofErr w:type="gramStart"/>
      <w:r>
        <w:rPr>
          <w:rFonts w:ascii="Times New Roman" w:eastAsia="Times New Roman" w:hAnsi="Times New Roman" w:cs="Times New Roman"/>
          <w:sz w:val="24"/>
          <w:szCs w:val="24"/>
        </w:rPr>
        <w:t>is divided</w:t>
      </w:r>
      <w:proofErr w:type="gramEnd"/>
      <w:r>
        <w:rPr>
          <w:rFonts w:ascii="Times New Roman" w:eastAsia="Times New Roman" w:hAnsi="Times New Roman" w:cs="Times New Roman"/>
          <w:sz w:val="24"/>
          <w:szCs w:val="24"/>
        </w:rPr>
        <w:t xml:space="preserve"> into three major parts. Firstly, how the current usage of digital technology has created an unequal distribution of wealth and resources due to the digital divide which modern societies experience. Secondly, how digital technology further exacerbate climate change through increasing environmental degradation in the production phase, substantial amounts of energy usage when people use digital technology, and accelerating amounts of e-waste in the disposal phase of digital technologies. Thirdly, how inequality due to the digital divide further exacerbate climate change, while climate change increase already existing inequalities.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w:t>
      </w:r>
      <w:proofErr w:type="gramStart"/>
      <w:r>
        <w:rPr>
          <w:rFonts w:ascii="Times New Roman" w:eastAsia="Times New Roman" w:hAnsi="Times New Roman" w:cs="Times New Roman"/>
          <w:sz w:val="24"/>
          <w:szCs w:val="24"/>
        </w:rPr>
        <w:t>two</w:t>
      </w:r>
      <w:proofErr w:type="gramEnd"/>
      <w:r>
        <w:rPr>
          <w:rFonts w:ascii="Times New Roman" w:eastAsia="Times New Roman" w:hAnsi="Times New Roman" w:cs="Times New Roman"/>
          <w:sz w:val="24"/>
          <w:szCs w:val="24"/>
        </w:rPr>
        <w:t xml:space="preserve"> consists of the key literature of relevant publications of the diverse set of topics. The third section explains the concept of </w:t>
      </w:r>
      <w:proofErr w:type="gramStart"/>
      <w:r>
        <w:rPr>
          <w:rFonts w:ascii="Times New Roman" w:eastAsia="Times New Roman" w:hAnsi="Times New Roman" w:cs="Times New Roman"/>
          <w:sz w:val="24"/>
          <w:szCs w:val="24"/>
        </w:rPr>
        <w:t>the digital divide and how it affects our societies</w:t>
      </w:r>
      <w:proofErr w:type="gramEnd"/>
      <w:r>
        <w:rPr>
          <w:rFonts w:ascii="Times New Roman" w:eastAsia="Times New Roman" w:hAnsi="Times New Roman" w:cs="Times New Roman"/>
          <w:sz w:val="24"/>
          <w:szCs w:val="24"/>
        </w:rPr>
        <w:t xml:space="preserve">. Section </w:t>
      </w:r>
      <w:proofErr w:type="gramStart"/>
      <w:r>
        <w:rPr>
          <w:rFonts w:ascii="Times New Roman" w:eastAsia="Times New Roman" w:hAnsi="Times New Roman" w:cs="Times New Roman"/>
          <w:sz w:val="24"/>
          <w:szCs w:val="24"/>
        </w:rPr>
        <w:t>four</w:t>
      </w:r>
      <w:proofErr w:type="gramEnd"/>
      <w:r>
        <w:rPr>
          <w:rFonts w:ascii="Times New Roman" w:eastAsia="Times New Roman" w:hAnsi="Times New Roman" w:cs="Times New Roman"/>
          <w:sz w:val="24"/>
          <w:szCs w:val="24"/>
        </w:rPr>
        <w:t xml:space="preserve"> examines how the usage of digital technology has affected the distribution of wealth and resources. The fifth sections analyse digital technology’s effect on environmental degradation and climate change. The sixth section analyse how the distribution of wealth and resources, climate change, and the digital divide are interconnected and is further exacerbated by each other. The digital divide and the interconnectedness between the unequal distribution of wealth and resources and climate change underpins the argument made throughout this article. The sixth section discusses and concludes. The research question this paper aims to answer is; how has the usage of technology affected the distribution of wealth and resources and climate change, and how are these consequences of digital technology affected by each other?</w:t>
      </w:r>
    </w:p>
    <w:p w:rsidR="00EF2EA7" w:rsidRDefault="00EF2EA7" w:rsidP="00EF2EA7">
      <w:pPr>
        <w:spacing w:line="480" w:lineRule="auto"/>
        <w:ind w:firstLine="720"/>
        <w:jc w:val="both"/>
        <w:rPr>
          <w:rFonts w:ascii="Times New Roman" w:eastAsia="Times New Roman" w:hAnsi="Times New Roman" w:cs="Times New Roman"/>
          <w:sz w:val="24"/>
          <w:szCs w:val="24"/>
        </w:rPr>
      </w:pPr>
    </w:p>
    <w:p w:rsidR="00EF2EA7" w:rsidRDefault="00EF2EA7" w:rsidP="00EF2EA7">
      <w:pPr>
        <w:spacing w:line="480" w:lineRule="auto"/>
        <w:ind w:firstLine="720"/>
        <w:jc w:val="both"/>
        <w:rPr>
          <w:rFonts w:ascii="Times New Roman" w:eastAsia="Times New Roman" w:hAnsi="Times New Roman" w:cs="Times New Roman"/>
          <w:sz w:val="24"/>
          <w:szCs w:val="24"/>
        </w:rPr>
      </w:pPr>
    </w:p>
    <w:p w:rsidR="00EF2EA7" w:rsidRDefault="00EF2EA7" w:rsidP="00EF2EA7">
      <w:pPr>
        <w:spacing w:line="480" w:lineRule="auto"/>
        <w:ind w:firstLine="720"/>
        <w:jc w:val="both"/>
        <w:rPr>
          <w:rFonts w:ascii="Times New Roman" w:eastAsia="Times New Roman" w:hAnsi="Times New Roman" w:cs="Times New Roman"/>
          <w:sz w:val="24"/>
          <w:szCs w:val="24"/>
        </w:rPr>
      </w:pPr>
    </w:p>
    <w:p w:rsidR="00C30C8B" w:rsidRDefault="001E516C" w:rsidP="00EF2EA7">
      <w:pPr>
        <w:spacing w:after="160" w:line="480"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Literature Review</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current literature has extensive contributions to how digital technology affects the distribution of wealth and resources. Even though new technologies generally raise the standard of living for people, the usage of digital technologies, and technologies, in general, has created a divide within different societies (Jaumotte et al., 2013; Fuchs &amp; Horak, 2008). Yu et al. (2018), Riddlesden &amp; Singleton (2014), Van Dijk (2006; 2014), Fuchs and Horak (2008), Serrano-Cinca, Muñoz‐Soro and Brusca (2018) explains how the access to digital technology is highly unequal in all societies, which further exacerbates within countries across the world. Jaumotte et al. (2013), Mirza, Richter, Nes, and Scheffer (2019), Asongu, Orim, and Nting (2019), Mukhopadhyay (2004), Zeira (2007), and Reenen (2011) demonstrate how economic inequality leads to unequal access to technology. Unequal access to technology, which creates inequalities and inequalities that create further unequal access to technology, indicates that these factors create a divide within </w:t>
      </w:r>
      <w:proofErr w:type="gramStart"/>
      <w:r>
        <w:rPr>
          <w:rFonts w:ascii="Times New Roman" w:eastAsia="Times New Roman" w:hAnsi="Times New Roman" w:cs="Times New Roman"/>
          <w:sz w:val="24"/>
          <w:szCs w:val="24"/>
        </w:rPr>
        <w:t>societies which</w:t>
      </w:r>
      <w:proofErr w:type="gramEnd"/>
      <w:r>
        <w:rPr>
          <w:rFonts w:ascii="Times New Roman" w:eastAsia="Times New Roman" w:hAnsi="Times New Roman" w:cs="Times New Roman"/>
          <w:sz w:val="24"/>
          <w:szCs w:val="24"/>
        </w:rPr>
        <w:t xml:space="preserve"> exacerbates income inequality and thus aggravates the unequal access to technology even further (Chetty, Aneja, Mishra, Gcora &amp; Joise, 2018).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regards to climate change, technology has a substantial part to play in reducing environmental </w:t>
      </w:r>
      <w:proofErr w:type="gramStart"/>
      <w:r>
        <w:rPr>
          <w:rFonts w:ascii="Times New Roman" w:eastAsia="Times New Roman" w:hAnsi="Times New Roman" w:cs="Times New Roman"/>
          <w:sz w:val="24"/>
          <w:szCs w:val="24"/>
        </w:rPr>
        <w:t>degradation and mitigate</w:t>
      </w:r>
      <w:proofErr w:type="gramEnd"/>
      <w:r>
        <w:rPr>
          <w:rFonts w:ascii="Times New Roman" w:eastAsia="Times New Roman" w:hAnsi="Times New Roman" w:cs="Times New Roman"/>
          <w:sz w:val="24"/>
          <w:szCs w:val="24"/>
        </w:rPr>
        <w:t xml:space="preserve"> and adapt to climate change (Pouri &amp; Hilty, 2018). However, whether the current usage of digital technologies has been able to reduce climate change is highly contested. Patrignani and Whitehouse (2014), Peterson (2008), Amjad &amp; Mehmood (2016) display how digital technology is generating an increasing amount of emissions and e-waste. Furthermore, current usage and digital innovations have not been focusing on environmental sustainability. Instead, the focused has been on continuous economic growth, wealth accumulation, and new technological innovations that benefit humans in the short-term (Patrignani &amp; Whitehouse, 2014</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Bretschger, 2005). Digital technology </w:t>
      </w:r>
      <w:proofErr w:type="gramStart"/>
      <w:r>
        <w:rPr>
          <w:rFonts w:ascii="Times New Roman" w:eastAsia="Times New Roman" w:hAnsi="Times New Roman" w:cs="Times New Roman"/>
          <w:sz w:val="24"/>
          <w:szCs w:val="24"/>
        </w:rPr>
        <w:t>has, therefore, not lived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up to its potential, which is a reduction in environmental degradation and mitigating climate change. The impact of this has thus created further emissions and environmental degradation, attributing to increasing climate change.</w:t>
      </w:r>
    </w:p>
    <w:p w:rsidR="00C30C8B" w:rsidRDefault="001E516C" w:rsidP="00EF2EA7">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Digital Divide</w:t>
      </w:r>
    </w:p>
    <w:p w:rsidR="00C30C8B" w:rsidRDefault="001E516C" w:rsidP="00EF2E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focus of this paper is to examine </w:t>
      </w:r>
      <w:proofErr w:type="gramStart"/>
      <w:r>
        <w:rPr>
          <w:rFonts w:ascii="Times New Roman" w:eastAsia="Times New Roman" w:hAnsi="Times New Roman" w:cs="Times New Roman"/>
          <w:sz w:val="24"/>
          <w:szCs w:val="24"/>
        </w:rPr>
        <w:t>the usage of digital technologies and how differential usage affects the distribution of wealth and resources and climate change</w:t>
      </w:r>
      <w:proofErr w:type="gramEnd"/>
      <w:r>
        <w:rPr>
          <w:rFonts w:ascii="Times New Roman" w:eastAsia="Times New Roman" w:hAnsi="Times New Roman" w:cs="Times New Roman"/>
          <w:sz w:val="24"/>
          <w:szCs w:val="24"/>
        </w:rPr>
        <w:t xml:space="preserve">. Digital technologies is therefore defined as the more common term information and communications technology, which includes major technologies such as mobile phones, smartphones, internet of things, big data, geographic information systems, and televisions, i.e. essentially every digital technology which either helps enable or provide information and/or communication (Tob-Ogu, Kumar &amp; Cullen, 2018; Hilbert, 2010).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Technology gives considerable power to the people who have access, knowledge of how to use it, and the capability to use it. Digital technology allows for further wealth accumulation to the person that </w:t>
      </w:r>
      <w:proofErr w:type="gramStart"/>
      <w:r>
        <w:rPr>
          <w:rFonts w:ascii="Times New Roman" w:eastAsia="Times New Roman" w:hAnsi="Times New Roman" w:cs="Times New Roman"/>
          <w:sz w:val="24"/>
          <w:szCs w:val="24"/>
        </w:rPr>
        <w:t>is possessing</w:t>
      </w:r>
      <w:proofErr w:type="gramEnd"/>
      <w:r>
        <w:rPr>
          <w:rFonts w:ascii="Times New Roman" w:eastAsia="Times New Roman" w:hAnsi="Times New Roman" w:cs="Times New Roman"/>
          <w:sz w:val="24"/>
          <w:szCs w:val="24"/>
        </w:rPr>
        <w:t xml:space="preserve"> such technology and is using it towards their advantage (Fuchs &amp; Horak, 2008). Unequal access, knowledge, and capabilities of digital technology have given rise to a digital divide within countries around the world, which </w:t>
      </w:r>
      <w:proofErr w:type="gramStart"/>
      <w:r>
        <w:rPr>
          <w:rFonts w:ascii="Times New Roman" w:eastAsia="Times New Roman" w:hAnsi="Times New Roman" w:cs="Times New Roman"/>
          <w:sz w:val="24"/>
          <w:szCs w:val="24"/>
        </w:rPr>
        <w:t>has been further exacerbated</w:t>
      </w:r>
      <w:proofErr w:type="gramEnd"/>
      <w:r>
        <w:rPr>
          <w:rFonts w:ascii="Times New Roman" w:eastAsia="Times New Roman" w:hAnsi="Times New Roman" w:cs="Times New Roman"/>
          <w:sz w:val="24"/>
          <w:szCs w:val="24"/>
        </w:rPr>
        <w:t xml:space="preserve"> by the fast development of digital technology (Yu et al., 2018). The digital divide means that some people have access to technology, while some people do not, which creates inequalities within societies (Eisenman, 2018). Unequal distribution of wealth and resources links to digital technology based on who gains access to it, whether they use it or not, and how they use digital technology. </w:t>
      </w:r>
    </w:p>
    <w:p w:rsidR="00C30C8B" w:rsidRDefault="001E516C">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 et al. (2018) divides access to digital technology into four broad categories, which are the most apparent, these include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rsidR="00C30C8B" w:rsidRDefault="001E516C">
      <w:pPr>
        <w:numPr>
          <w:ilvl w:val="0"/>
          <w:numId w:val="5"/>
        </w:numPr>
        <w:spacing w:line="480" w:lineRule="auto"/>
        <w:ind w:left="0" w:firstLine="0"/>
        <w:jc w:val="both"/>
        <w:rPr>
          <w:sz w:val="24"/>
          <w:szCs w:val="24"/>
        </w:rPr>
      </w:pPr>
      <w:r>
        <w:rPr>
          <w:rFonts w:ascii="Times New Roman" w:eastAsia="Times New Roman" w:hAnsi="Times New Roman" w:cs="Times New Roman"/>
          <w:sz w:val="24"/>
          <w:szCs w:val="24"/>
        </w:rPr>
        <w:lastRenderedPageBreak/>
        <w:t xml:space="preserve"> Material access, which refers to possessing a digital technological device, or the permission of using the device in certain situations. </w:t>
      </w:r>
    </w:p>
    <w:p w:rsidR="00C30C8B" w:rsidRDefault="001E516C">
      <w:pPr>
        <w:numPr>
          <w:ilvl w:val="0"/>
          <w:numId w:val="5"/>
        </w:numPr>
        <w:spacing w:line="480" w:lineRule="auto"/>
        <w:ind w:left="0" w:firstLine="0"/>
        <w:jc w:val="both"/>
        <w:rPr>
          <w:sz w:val="24"/>
          <w:szCs w:val="24"/>
        </w:rPr>
      </w:pPr>
      <w:r>
        <w:rPr>
          <w:rFonts w:ascii="Times New Roman" w:eastAsia="Times New Roman" w:hAnsi="Times New Roman" w:cs="Times New Roman"/>
          <w:sz w:val="24"/>
          <w:szCs w:val="24"/>
        </w:rPr>
        <w:t xml:space="preserve">Cognitive access, which denotes the ability a </w:t>
      </w:r>
      <w:proofErr w:type="gramStart"/>
      <w:r>
        <w:rPr>
          <w:rFonts w:ascii="Times New Roman" w:eastAsia="Times New Roman" w:hAnsi="Times New Roman" w:cs="Times New Roman"/>
          <w:sz w:val="24"/>
          <w:szCs w:val="24"/>
        </w:rPr>
        <w:t>person</w:t>
      </w:r>
      <w:proofErr w:type="gramEnd"/>
      <w:r>
        <w:rPr>
          <w:rFonts w:ascii="Times New Roman" w:eastAsia="Times New Roman" w:hAnsi="Times New Roman" w:cs="Times New Roman"/>
          <w:sz w:val="24"/>
          <w:szCs w:val="24"/>
        </w:rPr>
        <w:t xml:space="preserve"> has to use the digital device effectively and efficiently towards personal, professional, or academic tasks. </w:t>
      </w:r>
    </w:p>
    <w:p w:rsidR="00C30C8B" w:rsidRDefault="001E516C">
      <w:pPr>
        <w:numPr>
          <w:ilvl w:val="0"/>
          <w:numId w:val="5"/>
        </w:numPr>
        <w:spacing w:line="480" w:lineRule="auto"/>
        <w:ind w:left="0" w:firstLine="0"/>
        <w:jc w:val="both"/>
        <w:rPr>
          <w:sz w:val="24"/>
          <w:szCs w:val="24"/>
        </w:rPr>
      </w:pPr>
      <w:r>
        <w:rPr>
          <w:rFonts w:ascii="Times New Roman" w:eastAsia="Times New Roman" w:hAnsi="Times New Roman" w:cs="Times New Roman"/>
          <w:sz w:val="24"/>
          <w:szCs w:val="24"/>
        </w:rPr>
        <w:t xml:space="preserve">Motivational access, which describes the desire to learn, purchase, adopt, or use technology in specific circumstances. </w:t>
      </w:r>
    </w:p>
    <w:p w:rsidR="00C30C8B" w:rsidRDefault="001E516C">
      <w:pPr>
        <w:numPr>
          <w:ilvl w:val="0"/>
          <w:numId w:val="5"/>
        </w:numPr>
        <w:spacing w:after="160" w:line="480" w:lineRule="auto"/>
        <w:ind w:left="0" w:firstLine="0"/>
        <w:jc w:val="both"/>
        <w:rPr>
          <w:sz w:val="24"/>
          <w:szCs w:val="24"/>
        </w:rPr>
      </w:pPr>
      <w:r>
        <w:rPr>
          <w:rFonts w:ascii="Times New Roman" w:eastAsia="Times New Roman" w:hAnsi="Times New Roman" w:cs="Times New Roman"/>
          <w:sz w:val="24"/>
          <w:szCs w:val="24"/>
        </w:rPr>
        <w:t xml:space="preserve">Social access, which applies to socially constructed </w:t>
      </w:r>
      <w:proofErr w:type="gramStart"/>
      <w:r>
        <w:rPr>
          <w:rFonts w:ascii="Times New Roman" w:eastAsia="Times New Roman" w:hAnsi="Times New Roman" w:cs="Times New Roman"/>
          <w:sz w:val="24"/>
          <w:szCs w:val="24"/>
        </w:rPr>
        <w:t>conditions which</w:t>
      </w:r>
      <w:proofErr w:type="gramEnd"/>
      <w:r>
        <w:rPr>
          <w:rFonts w:ascii="Times New Roman" w:eastAsia="Times New Roman" w:hAnsi="Times New Roman" w:cs="Times New Roman"/>
          <w:sz w:val="24"/>
          <w:szCs w:val="24"/>
        </w:rPr>
        <w:t xml:space="preserve"> are necessary for using the digital device for specific tasks.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 et al. (2018) four categories of access to digital technology are essential due to how they attest how simply acquiring new technology is not enough to diminish the digital divide, cognitive, </w:t>
      </w:r>
      <w:proofErr w:type="gramStart"/>
      <w:r>
        <w:rPr>
          <w:rFonts w:ascii="Times New Roman" w:eastAsia="Times New Roman" w:hAnsi="Times New Roman" w:cs="Times New Roman"/>
          <w:sz w:val="24"/>
          <w:szCs w:val="24"/>
        </w:rPr>
        <w:t>motivational,</w:t>
      </w:r>
      <w:proofErr w:type="gramEnd"/>
      <w:r>
        <w:rPr>
          <w:rFonts w:ascii="Times New Roman" w:eastAsia="Times New Roman" w:hAnsi="Times New Roman" w:cs="Times New Roman"/>
          <w:sz w:val="24"/>
          <w:szCs w:val="24"/>
        </w:rPr>
        <w:t xml:space="preserve"> and social aspects are crucial as well. Digital inequality is, therefore, highly problematic and needs to be addressed by several different academic disciplines to find adequate solutions to reduce the digital divide. When the term digital divide </w:t>
      </w:r>
      <w:proofErr w:type="gramStart"/>
      <w:r>
        <w:rPr>
          <w:rFonts w:ascii="Times New Roman" w:eastAsia="Times New Roman" w:hAnsi="Times New Roman" w:cs="Times New Roman"/>
          <w:sz w:val="24"/>
          <w:szCs w:val="24"/>
        </w:rPr>
        <w:t>is used</w:t>
      </w:r>
      <w:proofErr w:type="gramEnd"/>
      <w:r>
        <w:rPr>
          <w:rFonts w:ascii="Times New Roman" w:eastAsia="Times New Roman" w:hAnsi="Times New Roman" w:cs="Times New Roman"/>
          <w:sz w:val="24"/>
          <w:szCs w:val="24"/>
        </w:rPr>
        <w:t xml:space="preserve"> throughout this paper, it adheres to the four categories of access as defined by Yu et al. (2018).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increasing amount of goods and services, employment opportunities, and the ability to connect to others are accessible through the internet and other digital technologies. The amount of access a person has to digital technology affects their ability to advance their position in society (Van Dijk, 2006). Without digital technology, or with outdated digital technology, a person will miss the opportunities associated with new technological innovations. Digital exclusion and inequality can thus lead to social exclusion and inequality, which affects how wealth and resources </w:t>
      </w:r>
      <w:proofErr w:type="gramStart"/>
      <w:r>
        <w:rPr>
          <w:rFonts w:ascii="Times New Roman" w:eastAsia="Times New Roman" w:hAnsi="Times New Roman" w:cs="Times New Roman"/>
          <w:sz w:val="24"/>
          <w:szCs w:val="24"/>
        </w:rPr>
        <w:t>are allocated</w:t>
      </w:r>
      <w:proofErr w:type="gramEnd"/>
      <w:r>
        <w:rPr>
          <w:rFonts w:ascii="Times New Roman" w:eastAsia="Times New Roman" w:hAnsi="Times New Roman" w:cs="Times New Roman"/>
          <w:sz w:val="24"/>
          <w:szCs w:val="24"/>
        </w:rPr>
        <w:t xml:space="preserve"> in societies (Serrano-Cinca et al., 2018). The impact of this allows people with digital access to benefit more than individuals without digital access (Van Dijk, 2006; Bélanger &amp; Carter, 2009). Similarly, people who fulfil the material, cognitive, motivational, and social access to </w:t>
      </w:r>
      <w:r>
        <w:rPr>
          <w:rFonts w:ascii="Times New Roman" w:eastAsia="Times New Roman" w:hAnsi="Times New Roman" w:cs="Times New Roman"/>
          <w:sz w:val="24"/>
          <w:szCs w:val="24"/>
        </w:rPr>
        <w:lastRenderedPageBreak/>
        <w:t xml:space="preserve">digital technologies will be more successful than individuals who are not able to achieve all the types of digital access. The digital divide is thus far more complicated than solely owning a digital device, and people must have the ability and knowledge required for using it as well.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examining the digital divide in Spain and how it is used differently among citizens by Serrano-Cinca, Muñoz‐Soro, and Brusca (2018) show that more advanced levels of education are associated with greater levels of internet usage. Similarly, people who earn less than 1.100 €/month use the internet less towards activities that can advance their status in society. Lower levels of income and education lead to exclusion from the benefits of digital technology, which increases the already existing inequalities in society between poor and wealthy individuals. Increasing existing inequalities within societies cause significant problems, including further exacerbation of environmental degradation due to desperate usage of the environment and lesser care of the environment due to other problems that are associated with income inequality, such as decreasing abilities to sustain one's livelihood.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digital technologies develop at such a rapid speed that gaining access, and fulfilling Yu et al. (2018) four categories of digital access, is increasingly more challenging (Maceviciute &amp; Wilson, 2018). For example, Riddlesden &amp; Singleton (2014) found that the speed of people's broadbands affects the performance of how people use the internet. Individuals and groups with faster internet can use it more efficient when working, studying, or creating networks with other people. The people with the latest and fastest digital technology are, therefore, able to gain benefits that people with outdated and slower technology forego. The differential access to broadband speed thus affects people's ability to advance their position in society. The impacts of differential access to digital technologies hence exacerbate already existing inequalities in society, which creates further polarization of the distribution of wealth and resources towards the already wealthy elite.</w:t>
      </w:r>
    </w:p>
    <w:p w:rsidR="00C30C8B" w:rsidRDefault="001E516C" w:rsidP="00EF2EA7">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Digital Technology and the Distribution of Wealth and Resources</w:t>
      </w:r>
    </w:p>
    <w:p w:rsidR="00C30C8B" w:rsidRDefault="001E516C" w:rsidP="00EF2E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F2EA7">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According to Fong (2009), the adoption of digital technologies such as information and </w:t>
      </w:r>
      <w:proofErr w:type="gramStart"/>
      <w:r>
        <w:rPr>
          <w:rFonts w:ascii="Times New Roman" w:eastAsia="Times New Roman" w:hAnsi="Times New Roman" w:cs="Times New Roman"/>
          <w:sz w:val="24"/>
          <w:szCs w:val="24"/>
        </w:rPr>
        <w:t>communication</w:t>
      </w:r>
      <w:proofErr w:type="gramEnd"/>
      <w:r>
        <w:rPr>
          <w:rFonts w:ascii="Times New Roman" w:eastAsia="Times New Roman" w:hAnsi="Times New Roman" w:cs="Times New Roman"/>
          <w:sz w:val="24"/>
          <w:szCs w:val="24"/>
        </w:rPr>
        <w:t xml:space="preserve"> technologies (ICT) have increased the average economic growth per capita in developing countries. Rural farmers, who are often the poorest people, have gained further access to ICT and other types of digital technology (Fong, 2009). The impact of this has improved poor rural farmers ability to access updated information, created better linking between buyers and sellers, reduced transaction costs, enabled precision farming, and further improved their ability to put different types of warning systems in place (Deichmann, Goyal, and Mishra, 2016). Furthermore, remote controlling through mobile phones </w:t>
      </w:r>
      <w:proofErr w:type="gramStart"/>
      <w:r>
        <w:rPr>
          <w:rFonts w:ascii="Times New Roman" w:eastAsia="Times New Roman" w:hAnsi="Times New Roman" w:cs="Times New Roman"/>
          <w:sz w:val="24"/>
          <w:szCs w:val="24"/>
        </w:rPr>
        <w:t>has been implemented</w:t>
      </w:r>
      <w:proofErr w:type="gramEnd"/>
      <w:r>
        <w:rPr>
          <w:rFonts w:ascii="Times New Roman" w:eastAsia="Times New Roman" w:hAnsi="Times New Roman" w:cs="Times New Roman"/>
          <w:sz w:val="24"/>
          <w:szCs w:val="24"/>
        </w:rPr>
        <w:t xml:space="preserve">, which saves time, energy, and water (Deichmann et al., 2016). As a result, implementing these new technologies has created better opportunities for the inclusion of rural farmers in the economy and reduced transaction costs. Rural farmers are now able to improve the efficiency of their harvest, demand the right price for their product based on real market prices, and have access to a broader set of buyers that can compete for their harvest (Deichmann et al., 2016). Such digital technological development is vital to a country's development, and great success in diminishing the digital divide within countries.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digital technologies are becoming increasingly accessible in developing nations, income inequality is still increasing (Jaumotte et al., 2013; Freeman, 2011; Lam &amp; Liu, 2011). Even though the inequality rates have been fluctuating at different times in different countries, the top one percent receive, on average, eight percent more of the global income since the 1980s. Furthermore, the richest 10 percent receive 40 percent of the global income, while the poorest 10 percent are earning approximately two to seven percent. In developing countries, poverty increased by 11 percent between the 1980s until 2016 (UNDP, 2019). The digital divide </w:t>
      </w:r>
      <w:r>
        <w:rPr>
          <w:rFonts w:ascii="Times New Roman" w:eastAsia="Times New Roman" w:hAnsi="Times New Roman" w:cs="Times New Roman"/>
          <w:sz w:val="24"/>
          <w:szCs w:val="24"/>
        </w:rPr>
        <w:lastRenderedPageBreak/>
        <w:t xml:space="preserve">has not decreased either; instead, it is growing at a rapid pace in developing countries, and the vast majority of other countries (Fuchs &amp; Horak, 2008).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if not counting with China, extreme poverty has increased by over 30 percent in developing countries between 1981 and 2004 (Chen &amp; Ravallion, 2010). Income inequality, poverty, and the digital divide are increasing simultaneously in developing, </w:t>
      </w:r>
      <w:proofErr w:type="gramStart"/>
      <w:r>
        <w:rPr>
          <w:rFonts w:ascii="Times New Roman" w:eastAsia="Times New Roman" w:hAnsi="Times New Roman" w:cs="Times New Roman"/>
          <w:sz w:val="24"/>
          <w:szCs w:val="24"/>
        </w:rPr>
        <w:t>showcasing</w:t>
      </w:r>
      <w:proofErr w:type="gramEnd"/>
      <w:r>
        <w:rPr>
          <w:rFonts w:ascii="Times New Roman" w:eastAsia="Times New Roman" w:hAnsi="Times New Roman" w:cs="Times New Roman"/>
          <w:sz w:val="24"/>
          <w:szCs w:val="24"/>
        </w:rPr>
        <w:t xml:space="preserve"> how these seemingly different aspects of socio-economic lives are affecting and further exacerbating each other. The rapid development of digital technology makes it hard for poor rural farmers in developing countries to keep up with the pace of digital development. The spread of digital technologies to rural and poor communities </w:t>
      </w:r>
      <w:proofErr w:type="gramStart"/>
      <w:r>
        <w:rPr>
          <w:rFonts w:ascii="Times New Roman" w:eastAsia="Times New Roman" w:hAnsi="Times New Roman" w:cs="Times New Roman"/>
          <w:sz w:val="24"/>
          <w:szCs w:val="24"/>
        </w:rPr>
        <w:t>is slower compared</w:t>
      </w:r>
      <w:proofErr w:type="gramEnd"/>
      <w:r>
        <w:rPr>
          <w:rFonts w:ascii="Times New Roman" w:eastAsia="Times New Roman" w:hAnsi="Times New Roman" w:cs="Times New Roman"/>
          <w:sz w:val="24"/>
          <w:szCs w:val="24"/>
        </w:rPr>
        <w:t xml:space="preserve"> to how fast the wealthy elite in developing countries are adopting these new technologies (Fuchs &amp; Horak, 2008). Individuals with ample education and skills, high income, and influential social relationships are, therefore, far more likely to have access to advanced digital technology. The wealthy people within a developing society are thus able to gain better material, cognitive, motivational, and social access to digital technologies, while poor people are not able to keep up with the process.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digital divide, therefore, allows the wealthy elite in developing countries to use technology to accumulate further wealth for themselves, which explains why the average economic growth and income inequality is increasing simultaneously in the majority of developing countries. The average economic growth which developing countries are experiencing can therefore be explained by the accumulation of wealth by a smaller elite, which raises the average economic growth rate in the country, while at the same time increasing unequal distribution of wealth and resources (Jaumotte et al., 2013; Mirza et al., 2019; Mukhopadhyay, 2004). The full access to all of Yu et al. (2018) categories by the wealthy elite, therefore, allows the smaller wealthy part of a population to create increasing amounts of wealth for themselves, while poorer people, with less access, </w:t>
      </w:r>
      <w:proofErr w:type="gramStart"/>
      <w:r>
        <w:rPr>
          <w:rFonts w:ascii="Times New Roman" w:eastAsia="Times New Roman" w:hAnsi="Times New Roman" w:cs="Times New Roman"/>
          <w:sz w:val="24"/>
          <w:szCs w:val="24"/>
        </w:rPr>
        <w:t>are left behind</w:t>
      </w:r>
      <w:proofErr w:type="gramEnd"/>
      <w:r>
        <w:rPr>
          <w:rFonts w:ascii="Times New Roman" w:eastAsia="Times New Roman" w:hAnsi="Times New Roman" w:cs="Times New Roman"/>
          <w:sz w:val="24"/>
          <w:szCs w:val="24"/>
        </w:rPr>
        <w:t xml:space="preserve"> in the technological process.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technology choices vary among the people who control and use natural capital, the distribution of wealth and resources is affected (Barret et al., 2011). The effects digital technology choices have on the ability to accumulate wealth and resources, therefore, affects whether inequality increase or decrease. If access to digital technology is inequal, then inequality will increase due to how people with better technology will be able to accumulate more capital </w:t>
      </w:r>
      <w:proofErr w:type="gramStart"/>
      <w:r>
        <w:rPr>
          <w:rFonts w:ascii="Times New Roman" w:eastAsia="Times New Roman" w:hAnsi="Times New Roman" w:cs="Times New Roman"/>
          <w:sz w:val="24"/>
          <w:szCs w:val="24"/>
        </w:rPr>
        <w:t>than people</w:t>
      </w:r>
      <w:proofErr w:type="gramEnd"/>
      <w:r>
        <w:rPr>
          <w:rFonts w:ascii="Times New Roman" w:eastAsia="Times New Roman" w:hAnsi="Times New Roman" w:cs="Times New Roman"/>
          <w:sz w:val="24"/>
          <w:szCs w:val="24"/>
        </w:rPr>
        <w:t xml:space="preserve"> with lesser technology. In developing countries, extracting natural resources is a crucial part of many people's livelihoods and poor people's resilience (Mirza et al., 2019). Even though poor people in developing countries are gaining further access to digital technology (Deichmann et al., 2016), the digital divide is increasing within developing countries (Fuchs &amp; Horak, 2008). The wealthy elite in these countries can extract a much larger part of the natural resources due to their better access to digital technology. The increased wealth accumulation by the wealthy elite </w:t>
      </w:r>
      <w:proofErr w:type="gramStart"/>
      <w:r>
        <w:rPr>
          <w:rFonts w:ascii="Times New Roman" w:eastAsia="Times New Roman" w:hAnsi="Times New Roman" w:cs="Times New Roman"/>
          <w:sz w:val="24"/>
          <w:szCs w:val="24"/>
        </w:rPr>
        <w:t>is often used</w:t>
      </w:r>
      <w:proofErr w:type="gramEnd"/>
      <w:r>
        <w:rPr>
          <w:rFonts w:ascii="Times New Roman" w:eastAsia="Times New Roman" w:hAnsi="Times New Roman" w:cs="Times New Roman"/>
          <w:sz w:val="24"/>
          <w:szCs w:val="24"/>
        </w:rPr>
        <w:t xml:space="preserve"> to buy even better technology, which can extract an even more significant amount of resources. The poorest part of the population, on the other hand, will only gain access to digital technology after it becomes affordable for them, often when said technology is outdated compared to the new technological innovations available on the market. The digital divide thus creates unequal access to natural resources through differential access to technology.</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mining industry is central in the digital transformation, where automation of mines, digital workers, improved analytical capabilities, and autonomous operation is increasing the rate of natural resource extraction with fewer workers (Sganzeria, Seixas &amp; Conti, 2016). A study by Loayza and Rigolini (2016) showed that mining communities increase inequalities, capital generated from mining do not spill over to the mining community or nearby districts. Individual landowners and communities do not own the minerals and metals, and </w:t>
      </w:r>
      <w:proofErr w:type="gramStart"/>
      <w:r>
        <w:rPr>
          <w:rFonts w:ascii="Times New Roman" w:eastAsia="Times New Roman" w:hAnsi="Times New Roman" w:cs="Times New Roman"/>
          <w:sz w:val="24"/>
          <w:szCs w:val="24"/>
        </w:rPr>
        <w:t>are therefore not compensated</w:t>
      </w:r>
      <w:proofErr w:type="gramEnd"/>
      <w:r>
        <w:rPr>
          <w:rFonts w:ascii="Times New Roman" w:eastAsia="Times New Roman" w:hAnsi="Times New Roman" w:cs="Times New Roman"/>
          <w:sz w:val="24"/>
          <w:szCs w:val="24"/>
        </w:rPr>
        <w:t xml:space="preserve"> for the damage done to their local livelihoods and communities. In Peru, as in many developing countries, laws and regimes are often unfair to the poorer population. Local landowners </w:t>
      </w:r>
      <w:proofErr w:type="gramStart"/>
      <w:r>
        <w:rPr>
          <w:rFonts w:ascii="Times New Roman" w:eastAsia="Times New Roman" w:hAnsi="Times New Roman" w:cs="Times New Roman"/>
          <w:sz w:val="24"/>
          <w:szCs w:val="24"/>
        </w:rPr>
        <w:lastRenderedPageBreak/>
        <w:t>are forced</w:t>
      </w:r>
      <w:proofErr w:type="gramEnd"/>
      <w:r>
        <w:rPr>
          <w:rFonts w:ascii="Times New Roman" w:eastAsia="Times New Roman" w:hAnsi="Times New Roman" w:cs="Times New Roman"/>
          <w:sz w:val="24"/>
          <w:szCs w:val="24"/>
        </w:rPr>
        <w:t xml:space="preserve"> to accept the prices which mining companies determine as fair market value for the lands (Ponce &amp; McClintock, 2014). Furthermore, due to the digital transformation, the workforce needed for these mining operations are highly skilled workers, often from urban areas. Digital technology thus allows mining companies to extract more natural resources, which is threatening the livelihoods of local communities, while highly skilled workers are gaining employment, which the mining industry offers.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in regards to natural </w:t>
      </w:r>
      <w:proofErr w:type="gramStart"/>
      <w:r>
        <w:rPr>
          <w:rFonts w:ascii="Times New Roman" w:eastAsia="Times New Roman" w:hAnsi="Times New Roman" w:cs="Times New Roman"/>
          <w:sz w:val="24"/>
          <w:szCs w:val="24"/>
        </w:rPr>
        <w:t>resources which</w:t>
      </w:r>
      <w:proofErr w:type="gramEnd"/>
      <w:r>
        <w:rPr>
          <w:rFonts w:ascii="Times New Roman" w:eastAsia="Times New Roman" w:hAnsi="Times New Roman" w:cs="Times New Roman"/>
          <w:sz w:val="24"/>
          <w:szCs w:val="24"/>
        </w:rPr>
        <w:t xml:space="preserve"> are depletable or finite on a human time scale, increasing amounts of extraction by the wealthy elite affects the ability of poorer people to access the natural resources the poorer people need to sustain their livelihoods. The impact of this creates a circle of wealth accumulation which benefit the wealthy elite in developing nations, while poorer people with less capital and hence less access to digital technology are only able to extract the same amount of resources, or even less (Mirza et al., 2019; Mukhopadhyay, 2004). The inability of poorer people to access high technology, which limits their ability to generate an income increase already existing unequal access to wealth and resources. The impact of the digital divide, and the subsequent unequal ability to extract natural resources between wealthy and poor people, thus further exacerbates already existing inequalities in developing societies.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developed countries, access to digital technology is more widespread, which makes rapid technological development highly prevalent (Bélanger &amp; Carter, 2009). Even though a significant part of the population uses digital technology, the digital divide is still increasing (Mubarak, 2015). The development of digital technology is rapid, and technologies are getting better for each day, which causes a large population to be unable to keep up with the pace of innovation and implementation of new digital technology (Yu et al., 2018; Mubarak, 2015; Patrignani &amp; Whitehouse, 2014). A large part of the population </w:t>
      </w:r>
      <w:proofErr w:type="gramStart"/>
      <w:r>
        <w:rPr>
          <w:rFonts w:ascii="Times New Roman" w:eastAsia="Times New Roman" w:hAnsi="Times New Roman" w:cs="Times New Roman"/>
          <w:sz w:val="24"/>
          <w:szCs w:val="24"/>
        </w:rPr>
        <w:t>is therefore left behind</w:t>
      </w:r>
      <w:proofErr w:type="gramEnd"/>
      <w:r>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lastRenderedPageBreak/>
        <w:t xml:space="preserve">technological development, creating a more substantial digital divide compared to when the pace of technological development was slower.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Matuzeviciute, Butkus, and Karaliute (2017) examine the current literature on whether technological innovations affect unemployment in European countries, finding that it does not increase unemployment and in some cases, foster further employment through technological innovation. However, the measurement used does not adequately measure total unemployment rate, or the long-run effects of technological innovations, or how the technologies affect societies after the technological innovation phase is over, and the technology </w:t>
      </w:r>
      <w:proofErr w:type="gramStart"/>
      <w:r>
        <w:rPr>
          <w:rFonts w:ascii="Times New Roman" w:eastAsia="Times New Roman" w:hAnsi="Times New Roman" w:cs="Times New Roman"/>
          <w:sz w:val="24"/>
          <w:szCs w:val="24"/>
        </w:rPr>
        <w:t>is implemented</w:t>
      </w:r>
      <w:proofErr w:type="gramEnd"/>
      <w:r>
        <w:rPr>
          <w:rFonts w:ascii="Times New Roman" w:eastAsia="Times New Roman" w:hAnsi="Times New Roman" w:cs="Times New Roman"/>
          <w:sz w:val="24"/>
          <w:szCs w:val="24"/>
        </w:rPr>
        <w:t xml:space="preserve">. Furthermore, even though employment stays relatively the same, inequality can still increase.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workplace, workers increasingly need a higher and more advanced set of skills to compete (Acemoglu, 2002). The people who have material, cognitive, motivational, and social access to digital technology can learn these new skills quicker than those who do not possess such access. A few people are acquiring all the definitions of access to digital technology, while a large part of the population is falling behind the digital process. The digital divide, therefore, is further exacerbating already existing </w:t>
      </w:r>
      <w:proofErr w:type="gramStart"/>
      <w:r>
        <w:rPr>
          <w:rFonts w:ascii="Times New Roman" w:eastAsia="Times New Roman" w:hAnsi="Times New Roman" w:cs="Times New Roman"/>
          <w:sz w:val="24"/>
          <w:szCs w:val="24"/>
        </w:rPr>
        <w:t>inequalities which</w:t>
      </w:r>
      <w:proofErr w:type="gramEnd"/>
      <w:r>
        <w:rPr>
          <w:rFonts w:ascii="Times New Roman" w:eastAsia="Times New Roman" w:hAnsi="Times New Roman" w:cs="Times New Roman"/>
          <w:sz w:val="24"/>
          <w:szCs w:val="24"/>
        </w:rPr>
        <w:t xml:space="preserve"> affect the possibility of a person to achieve the skills needed to be employable. Skill-biased technological changes are, thus, the main drivers of why digital technology is increasing inequalities within developed countries. Santos, Sequeira, and Ferreira-Lopes (2017) show that cell phones, internet, and TV contribute to increasing rates of inequality, especially in developed countries. Where technological usage is more extensive, inequality follows the same trend. Digital technological usage is larger in developed countries, which explains the increasing rates of inequality. If developing countries' usage of digital technologies will mimic the usage of developing countries, they will most likely experience the same trend.</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past decades have seen machines take over routine tasks quicker than any period before in human history (Mnif, 2016; Tomory, 2016). Digital technologies are increasingly able to do the </w:t>
      </w:r>
      <w:proofErr w:type="gramStart"/>
      <w:r>
        <w:rPr>
          <w:rFonts w:ascii="Times New Roman" w:eastAsia="Times New Roman" w:hAnsi="Times New Roman" w:cs="Times New Roman"/>
          <w:sz w:val="24"/>
          <w:szCs w:val="24"/>
        </w:rPr>
        <w:t>work which</w:t>
      </w:r>
      <w:proofErr w:type="gramEnd"/>
      <w:r>
        <w:rPr>
          <w:rFonts w:ascii="Times New Roman" w:eastAsia="Times New Roman" w:hAnsi="Times New Roman" w:cs="Times New Roman"/>
          <w:sz w:val="24"/>
          <w:szCs w:val="24"/>
        </w:rPr>
        <w:t xml:space="preserve"> was previously only able to be done by humans (Mubarak, 2015). Empirical analyses conducted by the research department at the international monetary fund found that digital technology has a dominant role to play in the increasing rates of inequality. The need for middle-skilled labour is decreasing, while automation and offshoring through digital technologies are becoming more widespread, which displace middle-skilled workers to occupations offering lower-wages (Dao, Das, Koczan &amp; Lian, 2017). The demand for lower-skilled workers is thus decreasing due to the way machines can replace them, while the demand for highly skilled workers is increasing (Michaels, Natraj &amp; Van Reenen, 2014). The </w:t>
      </w:r>
      <w:proofErr w:type="gramStart"/>
      <w:r>
        <w:rPr>
          <w:rFonts w:ascii="Times New Roman" w:eastAsia="Times New Roman" w:hAnsi="Times New Roman" w:cs="Times New Roman"/>
          <w:sz w:val="24"/>
          <w:szCs w:val="24"/>
        </w:rPr>
        <w:t>jobs which are replaced by technology</w:t>
      </w:r>
      <w:proofErr w:type="gramEnd"/>
      <w:r>
        <w:rPr>
          <w:rFonts w:ascii="Times New Roman" w:eastAsia="Times New Roman" w:hAnsi="Times New Roman" w:cs="Times New Roman"/>
          <w:sz w:val="24"/>
          <w:szCs w:val="24"/>
        </w:rPr>
        <w:t xml:space="preserve"> do, therefore, create downward pressure on the wages of the lower-skilled workers, while the higher-skilled worker's wages are increasing (Pi &amp; Zhang, 2018). Simultaneously differential digital access and ability in how to use the internet allows already wealthy individuals to accumulate further capital for themselves through increasing digital technological capabilities (Helsper &amp; van Deursen, 2017; Kondor et al., 2014). The impact of decreasing wages for middle-skilled and lower-skilled labour, changes in occupation from middle-skilled to lower-skilled jobs, and increasing wealth towards rich individuals there suggests digital technology is leading to increasing income inequalities.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part of the people who are unable to learn the new skills needed due to technological changes either become unemployed or have to move to occupations which pay less, thus creating further inequalities. Increasing inequalities lead to accelerating the digital divide due to how increasing inequalities limit full access to technology (Asongu et al., 2019). The impact of this creates further inequality among societies, where the poor starts to get even further behind the technological and societal development, which affects how wealth and resources are distributed. </w:t>
      </w:r>
      <w:r>
        <w:rPr>
          <w:rFonts w:ascii="Times New Roman" w:eastAsia="Times New Roman" w:hAnsi="Times New Roman" w:cs="Times New Roman"/>
          <w:sz w:val="24"/>
          <w:szCs w:val="24"/>
        </w:rPr>
        <w:lastRenderedPageBreak/>
        <w:t xml:space="preserve">On the other hand, the people who gain full access to new digital technologies are able to accumulate further wealth, thus increasing the difference in wealth between rich and poor people. </w:t>
      </w:r>
    </w:p>
    <w:p w:rsidR="00C30C8B" w:rsidRDefault="001E516C" w:rsidP="00EF2EA7">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Digital Technology and Climate Change</w:t>
      </w:r>
    </w:p>
    <w:p w:rsidR="00C30C8B" w:rsidRDefault="001E516C" w:rsidP="00EF2E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F2EA7">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Modern digital technology, such as digital technologies, has been given much praise due to the potential they bring in regards to creating a more sustainable natural environment (Hilty &amp; Ruddy, 2010). As of yet, digital technologies have not fulfilled these expectations due to the lack of focus on environmentally sustainable technologies (Patrignani &amp; Whitehouse, 2014; Nasrollahi et al., 2018). In developing countries, digital technologies, and unequal access to digital technologies have allowed for further resource extraction and pressure on the environment (Nasrollahi et al., 2018). The distribution of digital technology is unequal, which leaves a vast number of people in developing countries with inefficient and outdated technology (Fuchs et al., 2008). Efficient digital technology is accessible to already wealthy individuals who can afford higher technology, while poorer people are getting further and further behind technological development. In addition, even if people have material access, many people lack cognitive, motivational, and social access to new technology (Yu et al., 2018). Lack of full access to technology causes a substantial problem regarding both inequality and environmental degradation. Inefficient technologies and inefficient usage of technologies in developing countries cause substantial environmental damage (Li, Hu &amp; Xia, 2016; Nasrollahi et al., 2018).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developing countries, where large parts of the population depend on natural resource extraction and agriculture usage to sustain their livelihoods, the lack of access to efficient digital technology limits their ability to extract resources in efficient ways. The digital technology allows poorer people to extract more, but without access to sustainable, more expensive digital technology, the extraction will larger without being more efficient. Furthermore, the lack of all </w:t>
      </w:r>
      <w:r>
        <w:rPr>
          <w:rFonts w:ascii="Times New Roman" w:eastAsia="Times New Roman" w:hAnsi="Times New Roman" w:cs="Times New Roman"/>
          <w:sz w:val="24"/>
          <w:szCs w:val="24"/>
        </w:rPr>
        <w:lastRenderedPageBreak/>
        <w:t xml:space="preserve">four categories of Yu et al. (2018) access to digital technology leads to a decreasing ability to use the technologies inefficient and environmentally friendly ways. In cases with access to technology, which might cause </w:t>
      </w:r>
      <w:proofErr w:type="gramStart"/>
      <w:r>
        <w:rPr>
          <w:rFonts w:ascii="Times New Roman" w:eastAsia="Times New Roman" w:hAnsi="Times New Roman" w:cs="Times New Roman"/>
          <w:sz w:val="24"/>
          <w:szCs w:val="24"/>
        </w:rPr>
        <w:t>more efficient extraction of natural resources and agricultural production,</w:t>
      </w:r>
      <w:proofErr w:type="gramEnd"/>
      <w:r>
        <w:rPr>
          <w:rFonts w:ascii="Times New Roman" w:eastAsia="Times New Roman" w:hAnsi="Times New Roman" w:cs="Times New Roman"/>
          <w:sz w:val="24"/>
          <w:szCs w:val="24"/>
        </w:rPr>
        <w:t xml:space="preserve"> the lack of full access to digital technology limits the ability of sustainable environmental usage. </w:t>
      </w:r>
    </w:p>
    <w:p w:rsidR="00C30C8B" w:rsidRDefault="001E516C" w:rsidP="00EF2E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usage of digital technology in both developed and developing countries allows the country’s economy to grow. An increase in economic growth in a country is associated with increased pressure on the environment due to larger consumption, which leads to increased extraction of natural resources, and subsequent emissions and pollution (Amjad &amp; Mehmood, 2016; Patrignani &amp; Whitehouse, 2014; Nasrollahi et al., 2018; Peterson, 2008). Increased extraction of non-renewable natural resources affects the natural system in adverse ways, often resulting in eventually depleting or diminishing the non-renewable natural resource. The depletion of a natural resource creates changes in the natural environment, which have detrimental effects (Mirza et al., 2019). The economic growth associated with digital technology thus increases environmental degradation due to larger consumption patterns, which depletes non-renewable natural resources quicker. Moreover, the impact of depletion leads to biodiversity loss, soil degradation, loss of ecosystem services, and different types of pollution, which </w:t>
      </w:r>
      <w:proofErr w:type="gramStart"/>
      <w:r>
        <w:rPr>
          <w:rFonts w:ascii="Times New Roman" w:eastAsia="Times New Roman" w:hAnsi="Times New Roman" w:cs="Times New Roman"/>
          <w:sz w:val="24"/>
          <w:szCs w:val="24"/>
        </w:rPr>
        <w:t>is further exacerbated</w:t>
      </w:r>
      <w:proofErr w:type="gramEnd"/>
      <w:r>
        <w:rPr>
          <w:rFonts w:ascii="Times New Roman" w:eastAsia="Times New Roman" w:hAnsi="Times New Roman" w:cs="Times New Roman"/>
          <w:sz w:val="24"/>
          <w:szCs w:val="24"/>
        </w:rPr>
        <w:t xml:space="preserve"> by increased electronic waste and energy usage (Hamann et al., 2018; Lennerfors et al., 2015).</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technology, which does not focus on extracting natural resources, produces a large amount of environmental degradation and emissions as well (Patrignani &amp; Whitehouse, 2014). A large amount of digital technology causes increasing energy usage and electronic waste (Lennerfors, Fors &amp; Rooijen, 2015). Digital technology generates toxic hazards and requires a large amount of energy from its production, consumption, and disposal. The impact of this creates further environmental degradation, and dangerous toxins </w:t>
      </w:r>
      <w:proofErr w:type="gramStart"/>
      <w:r>
        <w:rPr>
          <w:rFonts w:ascii="Times New Roman" w:eastAsia="Times New Roman" w:hAnsi="Times New Roman" w:cs="Times New Roman"/>
          <w:sz w:val="24"/>
          <w:szCs w:val="24"/>
        </w:rPr>
        <w:t>are spread</w:t>
      </w:r>
      <w:proofErr w:type="gramEnd"/>
      <w:r>
        <w:rPr>
          <w:rFonts w:ascii="Times New Roman" w:eastAsia="Times New Roman" w:hAnsi="Times New Roman" w:cs="Times New Roman"/>
          <w:sz w:val="24"/>
          <w:szCs w:val="24"/>
        </w:rPr>
        <w:t xml:space="preserve"> (Wang, Zhang &amp; Guan, 2016). </w:t>
      </w:r>
    </w:p>
    <w:p w:rsidR="00C30C8B" w:rsidRDefault="001E516C" w:rsidP="00EF2E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Electricity consumption is the largest cause of global greenhouse gas emissions. New digital technology attributes to increasing levels of climate change through the power needed to operate digital technology, which doubles every five years (Uddin &amp; Rahman, 2010). The more widespread the usage of digital technologies become, the more energy </w:t>
      </w:r>
      <w:proofErr w:type="gramStart"/>
      <w:r>
        <w:rPr>
          <w:rFonts w:ascii="Times New Roman" w:eastAsia="Times New Roman" w:hAnsi="Times New Roman" w:cs="Times New Roman"/>
          <w:sz w:val="24"/>
          <w:szCs w:val="24"/>
        </w:rPr>
        <w:t>is needed</w:t>
      </w:r>
      <w:proofErr w:type="gramEnd"/>
      <w:r>
        <w:rPr>
          <w:rFonts w:ascii="Times New Roman" w:eastAsia="Times New Roman" w:hAnsi="Times New Roman" w:cs="Times New Roman"/>
          <w:sz w:val="24"/>
          <w:szCs w:val="24"/>
        </w:rPr>
        <w:t xml:space="preserve"> for manufacturing and powering these devices. The usage of digital technology amounts to upwards of 8 percent of the total worldwide energy consumption, not including smartphones or the manufacturing process of digital technologies. The largest contributor to the vast energy consumption are data centers, representing approximately 45 percent, and communication networks, representing approximately 24 percent of energy consumed (Belkhir &amp; Elmeligi, 2018). Even though modern technology can bring many sustainable and environmentally friendly solutions which are desperately needed (Hilty &amp; Ruddy, 2010), the current usage of digital technology to this day has mainly caused an increasing amount of emissions and environmental degradation, which are increasing the rate of climate change (Patrignani &amp; Whitehouse, 2014).</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technologies have an average lifetime of 2-5 years, thus depending on continuous manufacturing processes, which results in even further energy consumption due to the manufacturing of digital technologies. Furthermore, the manufacturing of digital technologies requires a substantial amount of precious and critical metals, deriving from mining activities. Electronics accounts for the usage of 90 percent of the precious metals in the industry (Ding et al., 2019). Due to the complexity of digital technologies, they contain the larger part of these precious and critical metals (Chancerel et al., 2015). There are numerous amounts of critical and precious metals, including gold, silver, and palladium. In 2015, the global demand within the field of electronics for gold, silver, and palladium was 254 tonnes, 12.816 tonnes, and 40.18 tonnes, respectively (Ding et al., 2019).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mining and continuous usage of the metals that digital technologies require for the manufacturing phase depletes natural resources, while many of the </w:t>
      </w:r>
      <w:proofErr w:type="gramStart"/>
      <w:r>
        <w:rPr>
          <w:rFonts w:ascii="Times New Roman" w:eastAsia="Times New Roman" w:hAnsi="Times New Roman" w:cs="Times New Roman"/>
          <w:sz w:val="24"/>
          <w:szCs w:val="24"/>
        </w:rPr>
        <w:t>metals which digital technologies rely on</w:t>
      </w:r>
      <w:proofErr w:type="gramEnd"/>
      <w:r>
        <w:rPr>
          <w:rFonts w:ascii="Times New Roman" w:eastAsia="Times New Roman" w:hAnsi="Times New Roman" w:cs="Times New Roman"/>
          <w:sz w:val="24"/>
          <w:szCs w:val="24"/>
        </w:rPr>
        <w:t xml:space="preserve"> are on the verge of diminishing. The short lifetime of digital technologies and the rapid innovation of new digital technologies create further demand for such metals and thus require increasing rates of mining activities. The increasing demand causes further natural resource extraction, pollution, and subsequent emissions due to the mining activities, which accelerates current climate change. Digital technologies are decreasing in size, which could be beneficial regarding the amount of raw material that needs to </w:t>
      </w:r>
      <w:proofErr w:type="gramStart"/>
      <w:r>
        <w:rPr>
          <w:rFonts w:ascii="Times New Roman" w:eastAsia="Times New Roman" w:hAnsi="Times New Roman" w:cs="Times New Roman"/>
          <w:sz w:val="24"/>
          <w:szCs w:val="24"/>
        </w:rPr>
        <w:t>be used</w:t>
      </w:r>
      <w:proofErr w:type="gramEnd"/>
      <w:r>
        <w:rPr>
          <w:rFonts w:ascii="Times New Roman" w:eastAsia="Times New Roman" w:hAnsi="Times New Roman" w:cs="Times New Roman"/>
          <w:sz w:val="24"/>
          <w:szCs w:val="24"/>
        </w:rPr>
        <w:t xml:space="preserve"> to manufacture new technologies. However, </w:t>
      </w:r>
      <w:proofErr w:type="gramStart"/>
      <w:r>
        <w:rPr>
          <w:rFonts w:ascii="Times New Roman" w:eastAsia="Times New Roman" w:hAnsi="Times New Roman" w:cs="Times New Roman"/>
          <w:sz w:val="24"/>
          <w:szCs w:val="24"/>
        </w:rPr>
        <w:t>more complex digital technologies</w:t>
      </w:r>
      <w:proofErr w:type="gramEnd"/>
      <w:r>
        <w:rPr>
          <w:rFonts w:ascii="Times New Roman" w:eastAsia="Times New Roman" w:hAnsi="Times New Roman" w:cs="Times New Roman"/>
          <w:sz w:val="24"/>
          <w:szCs w:val="24"/>
        </w:rPr>
        <w:t xml:space="preserve"> create further complex manufacturing processes. The more complex the manufacturing process becomes, the more substantial the number of materials </w:t>
      </w:r>
      <w:proofErr w:type="gramStart"/>
      <w:r>
        <w:rPr>
          <w:rFonts w:ascii="Times New Roman" w:eastAsia="Times New Roman" w:hAnsi="Times New Roman" w:cs="Times New Roman"/>
          <w:sz w:val="24"/>
          <w:szCs w:val="24"/>
        </w:rPr>
        <w:t>is needed</w:t>
      </w:r>
      <w:proofErr w:type="gramEnd"/>
      <w:r>
        <w:rPr>
          <w:rFonts w:ascii="Times New Roman" w:eastAsia="Times New Roman" w:hAnsi="Times New Roman" w:cs="Times New Roman"/>
          <w:sz w:val="24"/>
          <w:szCs w:val="24"/>
        </w:rPr>
        <w:t xml:space="preserve"> to manufacture the more complex product (Røpke, 2012). As a result, and the amount of indirect material consumption to create the product grows substantially.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increasing demand of modern digital technology, the rapid innovation process, and the short lifetime of digital technologies creates a substantial amount of electronic waste (e-waste) (Lennerfors et al., 2015). The e-waste contains large quantities of toxic hazards, which is a growing problem around the world due to the environmental degradation it causes and subsequent climate change (Hilty et al., 2006; Wang et al., 2016). In 2016, the global amount of e-waste was 44.7 million tonnes (Krishnamoorthy, 2018). Current data does not specify how a large percentage of each technological advice represents the current amount of e-waste. However, in the European Union, IT and telecommunication equipment represent 16 percent of total e-waste (Holgersson et al., 2018). While in Indonesia, cell phones alone generate over 9500 tonnes of e-waste every year (Panambunan-Ferse &amp; Breiter, 2013). These figures are growing rapidly and gives an impression </w:t>
      </w:r>
      <w:proofErr w:type="gramStart"/>
      <w:r>
        <w:rPr>
          <w:rFonts w:ascii="Times New Roman" w:eastAsia="Times New Roman" w:hAnsi="Times New Roman" w:cs="Times New Roman"/>
          <w:sz w:val="24"/>
          <w:szCs w:val="24"/>
        </w:rPr>
        <w:t>of how vast the problem of e-waste is and thus how large the effect it has on the environment</w:t>
      </w:r>
      <w:proofErr w:type="gramEnd"/>
      <w:r>
        <w:rPr>
          <w:rFonts w:ascii="Times New Roman" w:eastAsia="Times New Roman" w:hAnsi="Times New Roman" w:cs="Times New Roman"/>
          <w:sz w:val="24"/>
          <w:szCs w:val="24"/>
        </w:rPr>
        <w:t xml:space="preserve">. The lack of adequate recycling of e-waste substantial amounts of dangerous toxins to spread, creating </w:t>
      </w:r>
      <w:r>
        <w:rPr>
          <w:rFonts w:ascii="Times New Roman" w:eastAsia="Times New Roman" w:hAnsi="Times New Roman" w:cs="Times New Roman"/>
          <w:sz w:val="24"/>
          <w:szCs w:val="24"/>
        </w:rPr>
        <w:lastRenderedPageBreak/>
        <w:t xml:space="preserve">increasing environmental degradation, at the same time as the precious metals </w:t>
      </w:r>
      <w:proofErr w:type="gramStart"/>
      <w:r>
        <w:rPr>
          <w:rFonts w:ascii="Times New Roman" w:eastAsia="Times New Roman" w:hAnsi="Times New Roman" w:cs="Times New Roman"/>
          <w:sz w:val="24"/>
          <w:szCs w:val="24"/>
        </w:rPr>
        <w:t>are foregone</w:t>
      </w:r>
      <w:proofErr w:type="gramEnd"/>
      <w:r>
        <w:rPr>
          <w:rFonts w:ascii="Times New Roman" w:eastAsia="Times New Roman" w:hAnsi="Times New Roman" w:cs="Times New Roman"/>
          <w:sz w:val="24"/>
          <w:szCs w:val="24"/>
        </w:rPr>
        <w:t>. Mining new critical and precious metals are the preferred options instead of recycling the current large amount of e-waste. The impact of increased mining, and the spread of dangerous toxins, thus create further environmental degradation due to pollution, emissions, and subsequent climate change</w:t>
      </w:r>
    </w:p>
    <w:p w:rsidR="00C30C8B" w:rsidRDefault="001E516C" w:rsidP="00EF2EA7">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Digital Technology, Inequality, and Climate Change</w:t>
      </w:r>
    </w:p>
    <w:p w:rsidR="00C30C8B" w:rsidRDefault="001E516C" w:rsidP="00EF2E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Increasing emissions, pollution, and other forms of environmental degradation have adverse effects on human societies, leading to an acceleration of adverse weather events such as sea-level rise, wildfires, droughts, flooding, and storms. The impacts of such changes in weather severely threaten the livelihood of people across the world, especially for poor people with less supporting mechanisms (Hamann et al., 2018). Poor people in developing countries, who often depend on natural resources and agricultural activities to support their livelihoods, are especially subject to the increasing pressure on the environment (Barret et al., 2011). Increasing rates of climate change and its subsequent effects create substantial problems for poorer people in developing countries due to flooding and droughts, which cause crop failures, and the depletion of natural resources. The richer part of the population can mitigate more effectively to the changing climate, and might even be able to profit from it. The impact of worse conditions for the poor, while the rich can adapt in time, creates increasing inequalities.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Changes in the natural environment led to changes in human societies, which further exacerbate inequalities (Hamann et al., 2018). Increasing inequalities within societies create a further digital divide due to less full access to digital technologies by the poorer part of the population, which in turn further exacerbates unsustainable usage of the environment resulting in environmental degradation. Simultaneously, the wealthy elite can achieve full access to digital </w:t>
      </w:r>
      <w:r>
        <w:rPr>
          <w:rFonts w:ascii="Times New Roman" w:eastAsia="Times New Roman" w:hAnsi="Times New Roman" w:cs="Times New Roman"/>
          <w:sz w:val="24"/>
          <w:szCs w:val="24"/>
        </w:rPr>
        <w:lastRenderedPageBreak/>
        <w:t xml:space="preserve">technology due to their abundance of wealth. The impact of increased access to higher technology by the wealthy elite leads to further resource extraction and homogenous wealth accumulation (Mirza et al., 2019). A negative circle of inequality, environmental degradation, and digital technology </w:t>
      </w:r>
      <w:proofErr w:type="gramStart"/>
      <w:r>
        <w:rPr>
          <w:rFonts w:ascii="Times New Roman" w:eastAsia="Times New Roman" w:hAnsi="Times New Roman" w:cs="Times New Roman"/>
          <w:sz w:val="24"/>
          <w:szCs w:val="24"/>
        </w:rPr>
        <w:t>is therefore created</w:t>
      </w:r>
      <w:proofErr w:type="gramEnd"/>
      <w:r>
        <w:rPr>
          <w:rFonts w:ascii="Times New Roman" w:eastAsia="Times New Roman" w:hAnsi="Times New Roman" w:cs="Times New Roman"/>
          <w:sz w:val="24"/>
          <w:szCs w:val="24"/>
        </w:rPr>
        <w:t xml:space="preserve">. Digital technology creates increasing environmental degradation and inequality, while inequality accelerates both the digital divide and causes further environmental degradation due to unsustainable usage of the environment and homogenous wealth accumulation.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more substantial resource depletion due to digital technology cause increasing resource depletion, due to the ability of digital technologies to extract more natural resources (Mirza et al., 2019), and the usage of precious and critical metals to create the digital technologies. According to Boyce (1994), richer people have less interest in preserving the environment. The homogenous wealth accumulation by the richer part of the population, therefore, increases both inequalities and environmental degradation. The poorer part of the population, face larger resource scarcity due to the increase in environmental degradation and inequality, which limits their ability to support themselves. The impact of resource depletion and increasing inequalities create a poverty trap in developing countries where the poor people are unable to get out of poverty due to a lack of resources to sustain their livelihoods and build capital for themselves.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inequalities, environmental hazards, and depletion of natural resources are forcing more and more people in developing countries to move, especially the poorer part of the population (Cushing et al., 2015; Berthe &amp; Elie, 2015; Barret et al., 2011). People who are already poor, therefore, lose their homes, their jobs, and essential parts of their identity, creating further inequalities. Homelessness and poverty among the already poor population create a further digital divide, whereas the digital divide creates accelerating inequalities. Poverty and inequalities cause </w:t>
      </w:r>
      <w:r>
        <w:rPr>
          <w:rFonts w:ascii="Times New Roman" w:eastAsia="Times New Roman" w:hAnsi="Times New Roman" w:cs="Times New Roman"/>
          <w:sz w:val="24"/>
          <w:szCs w:val="24"/>
        </w:rPr>
        <w:lastRenderedPageBreak/>
        <w:t xml:space="preserve">the poorer people to use natural resources in unsustainable ways, due to desperation of survival and lack of care because of more persistent issues.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Poverty and inequality exacerbate environmental degradation through unsustainable and desperate usage of natural resources, where poorer people use natural resources in unsustainable ways due to the desperation of survival. The impact of the new digital technology, which creates further economic growth, increased efficiency in resource extraction, electronic waste, and increased energy usage, thus degrades the environment </w:t>
      </w:r>
      <w:proofErr w:type="gramStart"/>
      <w:r>
        <w:rPr>
          <w:rFonts w:ascii="Times New Roman" w:eastAsia="Times New Roman" w:hAnsi="Times New Roman" w:cs="Times New Roman"/>
          <w:sz w:val="24"/>
          <w:szCs w:val="24"/>
        </w:rPr>
        <w:t>to a greater extent</w:t>
      </w:r>
      <w:proofErr w:type="gramEnd"/>
      <w:r>
        <w:rPr>
          <w:rFonts w:ascii="Times New Roman" w:eastAsia="Times New Roman" w:hAnsi="Times New Roman" w:cs="Times New Roman"/>
          <w:sz w:val="24"/>
          <w:szCs w:val="24"/>
        </w:rPr>
        <w:t xml:space="preserve">, which is causing irreversible damage to the natural environment, and further exacerbates climate change. The digital divide is creating severe problems through exacerbation of already existing inequalities and through increasing the problems associated with unequal access to wealth and resources. Furthermore, the degradation of the natural environment and climate change causes deterioration in human conditions, especially in developing countries. These impacts primarily affect the already poor population in developing countries, which further exacerbates already existing inequalities.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impact of climate change on poor people is prevalent in developed countries as well (McNamara, Bronen, Fernando &amp; Klepp, 2017). In developed countries, just as in developing countries, the poorest people in society are the ones who suffer the most significant consequences of climate change (Lake et al., 2012). The digital divide creates a more considerable wealth accumulation for the wealthy people who have material, cognitive, motivational, and social access to new technologies, while poor people do not reap these benefits. Poorer people have a lesser ability to move to a different location due to the inequality in wages, which has caused economic strain on the livelihoods, which </w:t>
      </w:r>
      <w:proofErr w:type="gramStart"/>
      <w:r>
        <w:rPr>
          <w:rFonts w:ascii="Times New Roman" w:eastAsia="Times New Roman" w:hAnsi="Times New Roman" w:cs="Times New Roman"/>
          <w:sz w:val="24"/>
          <w:szCs w:val="24"/>
        </w:rPr>
        <w:t>has been further exacerbated</w:t>
      </w:r>
      <w:proofErr w:type="gramEnd"/>
      <w:r>
        <w:rPr>
          <w:rFonts w:ascii="Times New Roman" w:eastAsia="Times New Roman" w:hAnsi="Times New Roman" w:cs="Times New Roman"/>
          <w:sz w:val="24"/>
          <w:szCs w:val="24"/>
        </w:rPr>
        <w:t xml:space="preserve"> by the digital divide. Displacement due to climate change occurs in developed countries as well (Ghimire, Ferreira &amp; Dorfman, 2015). The impact of climate change does, therefore, force people in developed countries </w:t>
      </w:r>
      <w:proofErr w:type="gramStart"/>
      <w:r>
        <w:rPr>
          <w:rFonts w:ascii="Times New Roman" w:eastAsia="Times New Roman" w:hAnsi="Times New Roman" w:cs="Times New Roman"/>
          <w:sz w:val="24"/>
          <w:szCs w:val="24"/>
        </w:rPr>
        <w:t>do be displaced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just like in developing countries, which increases inequalities within countries and therefore leads to a large digital divide.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Wilkinson and Pickett (2010), inequality plays a critical role in shaping the way people behave towards the environment. Inequality further reinforces the importance of social status, which exacerbates individualism and consumerism (Wilkinson &amp; Pickett, 2010). Inequality causes a few wealthy people to consume more due to an abundance of wealth while setting a standard that </w:t>
      </w:r>
      <w:proofErr w:type="gramStart"/>
      <w:r>
        <w:rPr>
          <w:rFonts w:ascii="Times New Roman" w:eastAsia="Times New Roman" w:hAnsi="Times New Roman" w:cs="Times New Roman"/>
          <w:sz w:val="24"/>
          <w:szCs w:val="24"/>
        </w:rPr>
        <w:t>is displayed</w:t>
      </w:r>
      <w:proofErr w:type="gramEnd"/>
      <w:r>
        <w:rPr>
          <w:rFonts w:ascii="Times New Roman" w:eastAsia="Times New Roman" w:hAnsi="Times New Roman" w:cs="Times New Roman"/>
          <w:sz w:val="24"/>
          <w:szCs w:val="24"/>
        </w:rPr>
        <w:t xml:space="preserve"> in societies of a desirable amount of consumption (Cushing et al., 2015). Due to the availability of credits, which has been made further accessible due to digital technology (Staab, 2017), even poorer people are able to consume to a higher degree, in attempts of living up to the standard set by the upper class. Environmentally friendly behaviour, which reduces access to different goods and services that can improve a person’s social </w:t>
      </w:r>
      <w:proofErr w:type="gramStart"/>
      <w:r>
        <w:rPr>
          <w:rFonts w:ascii="Times New Roman" w:eastAsia="Times New Roman" w:hAnsi="Times New Roman" w:cs="Times New Roman"/>
          <w:sz w:val="24"/>
          <w:szCs w:val="24"/>
        </w:rPr>
        <w:t>status</w:t>
      </w:r>
      <w:proofErr w:type="gramEnd"/>
      <w:r>
        <w:rPr>
          <w:rFonts w:ascii="Times New Roman" w:eastAsia="Times New Roman" w:hAnsi="Times New Roman" w:cs="Times New Roman"/>
          <w:sz w:val="24"/>
          <w:szCs w:val="24"/>
        </w:rPr>
        <w:t xml:space="preserve"> is thus less likely to be supported.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working hours are increasing in developed societies (Bowles &amp; Park, 2005), which has increasingly become mandatory to support high consumption lifestyles (Wisman, 2011). Hayden and Shandra (2009) present how long work hours </w:t>
      </w:r>
      <w:proofErr w:type="gramStart"/>
      <w:r>
        <w:rPr>
          <w:rFonts w:ascii="Times New Roman" w:eastAsia="Times New Roman" w:hAnsi="Times New Roman" w:cs="Times New Roman"/>
          <w:sz w:val="24"/>
          <w:szCs w:val="24"/>
        </w:rPr>
        <w:t>are correlated</w:t>
      </w:r>
      <w:proofErr w:type="gramEnd"/>
      <w:r>
        <w:rPr>
          <w:rFonts w:ascii="Times New Roman" w:eastAsia="Times New Roman" w:hAnsi="Times New Roman" w:cs="Times New Roman"/>
          <w:sz w:val="24"/>
          <w:szCs w:val="24"/>
        </w:rPr>
        <w:t xml:space="preserve"> with a larger ecological footprint on a national level. When work hours increase, the pressure on the environment </w:t>
      </w:r>
      <w:proofErr w:type="gramStart"/>
      <w:r>
        <w:rPr>
          <w:rFonts w:ascii="Times New Roman" w:eastAsia="Times New Roman" w:hAnsi="Times New Roman" w:cs="Times New Roman"/>
          <w:sz w:val="24"/>
          <w:szCs w:val="24"/>
        </w:rPr>
        <w:t>is further exacerbated</w:t>
      </w:r>
      <w:proofErr w:type="gramEnd"/>
      <w:r>
        <w:rPr>
          <w:rFonts w:ascii="Times New Roman" w:eastAsia="Times New Roman" w:hAnsi="Times New Roman" w:cs="Times New Roman"/>
          <w:sz w:val="24"/>
          <w:szCs w:val="24"/>
        </w:rPr>
        <w:t xml:space="preserve"> as well, due to increased overall economic production and changes in the behaviour to the environment (Cushing et al., 2015). The impact of increased economic production, growth, and environmental degradation further exacerbates the rate of climate change. Whereas climate change leads to increasing inequalities within societies. </w:t>
      </w:r>
    </w:p>
    <w:p w:rsidR="00C30C8B" w:rsidRDefault="001E516C">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Conclusion</w:t>
      </w:r>
    </w:p>
    <w:p w:rsidR="00C30C8B" w:rsidRDefault="001E516C" w:rsidP="00EF2E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potential of digital technologies is significant, with possibilities of decreasing inequalities and mitigating climate change. This paper </w:t>
      </w:r>
      <w:proofErr w:type="gramStart"/>
      <w:r>
        <w:rPr>
          <w:rFonts w:ascii="Times New Roman" w:eastAsia="Times New Roman" w:hAnsi="Times New Roman" w:cs="Times New Roman"/>
          <w:sz w:val="24"/>
          <w:szCs w:val="24"/>
        </w:rPr>
        <w:t>has, however, argued</w:t>
      </w:r>
      <w:proofErr w:type="gramEnd"/>
      <w:r>
        <w:rPr>
          <w:rFonts w:ascii="Times New Roman" w:eastAsia="Times New Roman" w:hAnsi="Times New Roman" w:cs="Times New Roman"/>
          <w:sz w:val="24"/>
          <w:szCs w:val="24"/>
        </w:rPr>
        <w:t xml:space="preserve"> for how the current usage of digital </w:t>
      </w:r>
      <w:r>
        <w:rPr>
          <w:rFonts w:ascii="Times New Roman" w:eastAsia="Times New Roman" w:hAnsi="Times New Roman" w:cs="Times New Roman"/>
          <w:sz w:val="24"/>
          <w:szCs w:val="24"/>
        </w:rPr>
        <w:lastRenderedPageBreak/>
        <w:t xml:space="preserve">technologies increase the unequal distribution of wealth and resources and increases the rate of climate change. The digital divide within countries further exacerbates already existing inequalities, which has adverse effects on how societies around the world are developing. Depending on the material, cognitive, motivational, and social access to digital technology, a person’s ability to advance their position in society </w:t>
      </w:r>
      <w:proofErr w:type="gramStart"/>
      <w:r>
        <w:rPr>
          <w:rFonts w:ascii="Times New Roman" w:eastAsia="Times New Roman" w:hAnsi="Times New Roman" w:cs="Times New Roman"/>
          <w:sz w:val="24"/>
          <w:szCs w:val="24"/>
        </w:rPr>
        <w:t>is severely affected</w:t>
      </w:r>
      <w:proofErr w:type="gramEnd"/>
      <w:r>
        <w:rPr>
          <w:rFonts w:ascii="Times New Roman" w:eastAsia="Times New Roman" w:hAnsi="Times New Roman" w:cs="Times New Roman"/>
          <w:sz w:val="24"/>
          <w:szCs w:val="24"/>
        </w:rPr>
        <w:t xml:space="preserve">. The impact of this further reinforces existing inequalities, which further increase the digital divide due to a lack of capital to acquire new digital technologies. Through comparing the usage of digital technologies, and its effects on the distribution of wealth and resources, this paper has argued for how both developing and developed countries are suffering from inequalities due to the digital divide. </w:t>
      </w:r>
    </w:p>
    <w:p w:rsidR="00C30C8B" w:rsidRDefault="001E516C" w:rsidP="00EF2EA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digital technologies increase the amount of electronic waste and energy usage due to lack of adequate recycling initiatives, short </w:t>
      </w:r>
      <w:proofErr w:type="gramStart"/>
      <w:r>
        <w:rPr>
          <w:rFonts w:ascii="Times New Roman" w:eastAsia="Times New Roman" w:hAnsi="Times New Roman" w:cs="Times New Roman"/>
          <w:sz w:val="24"/>
          <w:szCs w:val="24"/>
        </w:rPr>
        <w:t>life-span</w:t>
      </w:r>
      <w:proofErr w:type="gramEnd"/>
      <w:r>
        <w:rPr>
          <w:rFonts w:ascii="Times New Roman" w:eastAsia="Times New Roman" w:hAnsi="Times New Roman" w:cs="Times New Roman"/>
          <w:sz w:val="24"/>
          <w:szCs w:val="24"/>
        </w:rPr>
        <w:t xml:space="preserve"> of digital technologies, and rapid innovation, which leads to the desire to buy the latest digital technology available. The impact of increasing e-waste and energy consumption cause </w:t>
      </w:r>
      <w:proofErr w:type="gramStart"/>
      <w:r>
        <w:rPr>
          <w:rFonts w:ascii="Times New Roman" w:eastAsia="Times New Roman" w:hAnsi="Times New Roman" w:cs="Times New Roman"/>
          <w:sz w:val="24"/>
          <w:szCs w:val="24"/>
        </w:rPr>
        <w:t>more significant environmental degradation</w:t>
      </w:r>
      <w:proofErr w:type="gramEnd"/>
      <w:r>
        <w:rPr>
          <w:rFonts w:ascii="Times New Roman" w:eastAsia="Times New Roman" w:hAnsi="Times New Roman" w:cs="Times New Roman"/>
          <w:sz w:val="24"/>
          <w:szCs w:val="24"/>
        </w:rPr>
        <w:t xml:space="preserve"> and emissions, leading to subsequent increasing climate change. Climate change and associated adverse effects increase inequalities, whereas inequalities further increase the rate of climate change. </w:t>
      </w:r>
    </w:p>
    <w:p w:rsidR="00EF2EA7" w:rsidRDefault="001E516C" w:rsidP="00EF2EA7">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usage of digital technology has thus far led to increases in inequality, environmental degradation, and climate change. All these factors accelerate each other, causing severe problems to humans and societies around the world, especially prevalent in developing countries where the poorest part of the world's population lives. Without adequate regulations, laws, and policies in regards to digital technologies, the richer will likely get richer, and the poor will get poorer, while climate change </w:t>
      </w:r>
      <w:proofErr w:type="gramStart"/>
      <w:r>
        <w:rPr>
          <w:rFonts w:ascii="Times New Roman" w:eastAsia="Times New Roman" w:hAnsi="Times New Roman" w:cs="Times New Roman"/>
          <w:sz w:val="24"/>
          <w:szCs w:val="24"/>
        </w:rPr>
        <w:t>will be further exacerbated</w:t>
      </w:r>
      <w:proofErr w:type="gramEnd"/>
      <w:r>
        <w:rPr>
          <w:rFonts w:ascii="Times New Roman" w:eastAsia="Times New Roman" w:hAnsi="Times New Roman" w:cs="Times New Roman"/>
          <w:sz w:val="24"/>
          <w:szCs w:val="24"/>
        </w:rPr>
        <w:t>. With the right regulations, laws, and policies, digital technology does have tremendous potential, depending on how it is used.</w:t>
      </w:r>
    </w:p>
    <w:p w:rsidR="00C30C8B" w:rsidRPr="00EF2EA7" w:rsidRDefault="001E516C" w:rsidP="00EF2EA7">
      <w:pPr>
        <w:spacing w:after="16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Limitations of Research</w:t>
      </w:r>
    </w:p>
    <w:p w:rsidR="00C30C8B" w:rsidRDefault="001E516C">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lack of available statistics and empirical </w:t>
      </w:r>
      <w:proofErr w:type="gramStart"/>
      <w:r>
        <w:rPr>
          <w:rFonts w:ascii="Times New Roman" w:eastAsia="Times New Roman" w:hAnsi="Times New Roman" w:cs="Times New Roman"/>
          <w:sz w:val="24"/>
          <w:szCs w:val="24"/>
        </w:rPr>
        <w:t>evidence</w:t>
      </w:r>
      <w:proofErr w:type="gramEnd"/>
      <w:r>
        <w:rPr>
          <w:rFonts w:ascii="Times New Roman" w:eastAsia="Times New Roman" w:hAnsi="Times New Roman" w:cs="Times New Roman"/>
          <w:sz w:val="24"/>
          <w:szCs w:val="24"/>
        </w:rPr>
        <w:t xml:space="preserve"> that examines the effects of digital technology on both the distribution of wealth and resources and climate change, this paper is largely theoretical in nature. Future research should focus on collecting empirical </w:t>
      </w:r>
      <w:proofErr w:type="gramStart"/>
      <w:r>
        <w:rPr>
          <w:rFonts w:ascii="Times New Roman" w:eastAsia="Times New Roman" w:hAnsi="Times New Roman" w:cs="Times New Roman"/>
          <w:sz w:val="24"/>
          <w:szCs w:val="24"/>
        </w:rPr>
        <w:t>evidence which</w:t>
      </w:r>
      <w:proofErr w:type="gramEnd"/>
      <w:r>
        <w:rPr>
          <w:rFonts w:ascii="Times New Roman" w:eastAsia="Times New Roman" w:hAnsi="Times New Roman" w:cs="Times New Roman"/>
          <w:sz w:val="24"/>
          <w:szCs w:val="24"/>
        </w:rPr>
        <w:t xml:space="preserve"> supports the claims made throughout this article. Moreover, the vast array of different variables that affect digital inequality, economic inequality, and climate change and how they affect each other </w:t>
      </w:r>
      <w:proofErr w:type="gramStart"/>
      <w:r>
        <w:rPr>
          <w:rFonts w:ascii="Times New Roman" w:eastAsia="Times New Roman" w:hAnsi="Times New Roman" w:cs="Times New Roman"/>
          <w:sz w:val="24"/>
          <w:szCs w:val="24"/>
        </w:rPr>
        <w:t>should be acknowledged</w:t>
      </w:r>
      <w:proofErr w:type="gramEnd"/>
      <w:r>
        <w:rPr>
          <w:rFonts w:ascii="Times New Roman" w:eastAsia="Times New Roman" w:hAnsi="Times New Roman" w:cs="Times New Roman"/>
          <w:sz w:val="24"/>
          <w:szCs w:val="24"/>
        </w:rPr>
        <w:t xml:space="preserve"> before any conclusion can be made. This paper has focused on how the usage and access to digital technology and generalised between developing and developed nations. Differential access exists within </w:t>
      </w:r>
      <w:proofErr w:type="gramStart"/>
      <w:r>
        <w:rPr>
          <w:rFonts w:ascii="Times New Roman" w:eastAsia="Times New Roman" w:hAnsi="Times New Roman" w:cs="Times New Roman"/>
          <w:sz w:val="24"/>
          <w:szCs w:val="24"/>
        </w:rPr>
        <w:t>countries,</w:t>
      </w:r>
      <w:proofErr w:type="gramEnd"/>
      <w:r>
        <w:rPr>
          <w:rFonts w:ascii="Times New Roman" w:eastAsia="Times New Roman" w:hAnsi="Times New Roman" w:cs="Times New Roman"/>
          <w:sz w:val="24"/>
          <w:szCs w:val="24"/>
        </w:rPr>
        <w:t xml:space="preserve"> and differential usage as well. Future research should focus on comparing countries in accordance with the variables used for this research and examine to what extent differential usage of technology affects societies, including the role of different policies, regulations, laws, and institutions.</w:t>
      </w:r>
    </w:p>
    <w:p w:rsidR="00C30C8B" w:rsidRDefault="00C30C8B">
      <w:pPr>
        <w:spacing w:after="160" w:line="480" w:lineRule="auto"/>
        <w:jc w:val="both"/>
        <w:rPr>
          <w:rFonts w:ascii="Times New Roman" w:eastAsia="Times New Roman" w:hAnsi="Times New Roman" w:cs="Times New Roman"/>
          <w:sz w:val="24"/>
          <w:szCs w:val="24"/>
        </w:rPr>
      </w:pPr>
    </w:p>
    <w:p w:rsidR="00C30C8B" w:rsidRDefault="00C30C8B">
      <w:pPr>
        <w:spacing w:after="160" w:line="480" w:lineRule="auto"/>
        <w:jc w:val="both"/>
        <w:rPr>
          <w:rFonts w:ascii="Times New Roman" w:eastAsia="Times New Roman" w:hAnsi="Times New Roman" w:cs="Times New Roman"/>
          <w:sz w:val="24"/>
          <w:szCs w:val="24"/>
        </w:rPr>
      </w:pPr>
    </w:p>
    <w:p w:rsidR="00EF2EA7" w:rsidRDefault="00EF2EA7">
      <w:pPr>
        <w:spacing w:after="160" w:line="480" w:lineRule="auto"/>
        <w:jc w:val="both"/>
        <w:rPr>
          <w:rFonts w:ascii="Times New Roman" w:eastAsia="Times New Roman" w:hAnsi="Times New Roman" w:cs="Times New Roman"/>
          <w:sz w:val="24"/>
          <w:szCs w:val="24"/>
        </w:rPr>
      </w:pPr>
    </w:p>
    <w:p w:rsidR="00EF2EA7" w:rsidRDefault="00EF2EA7">
      <w:pPr>
        <w:spacing w:after="160" w:line="480" w:lineRule="auto"/>
        <w:jc w:val="both"/>
        <w:rPr>
          <w:rFonts w:ascii="Times New Roman" w:eastAsia="Times New Roman" w:hAnsi="Times New Roman" w:cs="Times New Roman"/>
          <w:sz w:val="24"/>
          <w:szCs w:val="24"/>
        </w:rPr>
      </w:pPr>
    </w:p>
    <w:p w:rsidR="00EF2EA7" w:rsidRDefault="00EF2EA7">
      <w:pPr>
        <w:spacing w:after="160" w:line="480" w:lineRule="auto"/>
        <w:jc w:val="both"/>
        <w:rPr>
          <w:rFonts w:ascii="Times New Roman" w:eastAsia="Times New Roman" w:hAnsi="Times New Roman" w:cs="Times New Roman"/>
          <w:sz w:val="24"/>
          <w:szCs w:val="24"/>
        </w:rPr>
      </w:pPr>
    </w:p>
    <w:p w:rsidR="00EF2EA7" w:rsidRDefault="00EF2EA7">
      <w:pPr>
        <w:spacing w:after="160" w:line="480" w:lineRule="auto"/>
        <w:jc w:val="both"/>
        <w:rPr>
          <w:rFonts w:ascii="Times New Roman" w:eastAsia="Times New Roman" w:hAnsi="Times New Roman" w:cs="Times New Roman"/>
          <w:sz w:val="24"/>
          <w:szCs w:val="24"/>
        </w:rPr>
      </w:pPr>
    </w:p>
    <w:p w:rsidR="00EF2EA7" w:rsidRDefault="00EF2EA7">
      <w:pPr>
        <w:spacing w:after="160" w:line="480" w:lineRule="auto"/>
        <w:jc w:val="both"/>
        <w:rPr>
          <w:rFonts w:ascii="Times New Roman" w:eastAsia="Times New Roman" w:hAnsi="Times New Roman" w:cs="Times New Roman"/>
          <w:sz w:val="24"/>
          <w:szCs w:val="24"/>
        </w:rPr>
      </w:pPr>
    </w:p>
    <w:p w:rsidR="00EF2EA7" w:rsidRDefault="00EF2EA7">
      <w:pPr>
        <w:spacing w:after="160" w:line="480" w:lineRule="auto"/>
        <w:jc w:val="both"/>
        <w:rPr>
          <w:rFonts w:ascii="Times New Roman" w:eastAsia="Times New Roman" w:hAnsi="Times New Roman" w:cs="Times New Roman"/>
          <w:sz w:val="24"/>
          <w:szCs w:val="24"/>
        </w:rPr>
      </w:pPr>
    </w:p>
    <w:p w:rsidR="00C30C8B" w:rsidRDefault="00C30C8B">
      <w:pPr>
        <w:spacing w:after="160" w:line="480" w:lineRule="auto"/>
        <w:jc w:val="both"/>
        <w:rPr>
          <w:rFonts w:ascii="Times New Roman" w:eastAsia="Times New Roman" w:hAnsi="Times New Roman" w:cs="Times New Roman"/>
          <w:sz w:val="24"/>
          <w:szCs w:val="24"/>
        </w:rPr>
      </w:pPr>
    </w:p>
    <w:p w:rsidR="00C30C8B" w:rsidRDefault="001E516C">
      <w:pPr>
        <w:spacing w:after="1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Bibliography</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Acemoglu, D. (2002). Technical Change, Inequality, and the Labor Market. </w:t>
      </w:r>
      <w:r>
        <w:rPr>
          <w:rFonts w:ascii="Times New Roman" w:eastAsia="Times New Roman" w:hAnsi="Times New Roman" w:cs="Times New Roman"/>
          <w:i/>
          <w:sz w:val="24"/>
          <w:szCs w:val="24"/>
        </w:rPr>
        <w:t>Journal of Economic Literature, 40</w:t>
      </w:r>
      <w:r>
        <w:rPr>
          <w:rFonts w:ascii="Times New Roman" w:eastAsia="Times New Roman" w:hAnsi="Times New Roman" w:cs="Times New Roman"/>
          <w:sz w:val="24"/>
          <w:szCs w:val="24"/>
        </w:rPr>
        <w:t xml:space="preserve">(1), 7-72. Retrieved from </w:t>
      </w:r>
      <w:hyperlink r:id="rId10">
        <w:r>
          <w:rPr>
            <w:rFonts w:ascii="Times New Roman" w:eastAsia="Times New Roman" w:hAnsi="Times New Roman" w:cs="Times New Roman"/>
            <w:sz w:val="24"/>
            <w:szCs w:val="24"/>
          </w:rPr>
          <w:t>https://www.jstor.org/stable/2698593</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Amjad, F., &amp; Mehmood, B. (2016). Dynamics of FDI, Technological Transformation and Environmental Degradation in Developing Countries: A Panel Analysis. </w:t>
      </w:r>
      <w:r>
        <w:rPr>
          <w:rFonts w:ascii="Times New Roman" w:eastAsia="Times New Roman" w:hAnsi="Times New Roman" w:cs="Times New Roman"/>
          <w:i/>
          <w:sz w:val="24"/>
          <w:szCs w:val="24"/>
        </w:rPr>
        <w:t>Romanian Economic Journal, 19</w:t>
      </w:r>
      <w:r>
        <w:rPr>
          <w:rFonts w:ascii="Times New Roman" w:eastAsia="Times New Roman" w:hAnsi="Times New Roman" w:cs="Times New Roman"/>
          <w:sz w:val="24"/>
          <w:szCs w:val="24"/>
        </w:rPr>
        <w:t xml:space="preserve">(59), 3-24. Retrieved from, </w:t>
      </w:r>
      <w:hyperlink r:id="rId11">
        <w:r>
          <w:rPr>
            <w:rFonts w:ascii="Times New Roman" w:eastAsia="Times New Roman" w:hAnsi="Times New Roman" w:cs="Times New Roman"/>
            <w:sz w:val="24"/>
            <w:szCs w:val="24"/>
          </w:rPr>
          <w:t>https://doaj.org/article/2aad58eda6d64f8192f4ac80a5f431c9</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Asongu, S. A., Orim, S-M. I., &amp; Nting, R. T. (2019). Inequality, Information Technology and Inclusive Education in Sub-Saharan Africa. </w:t>
      </w:r>
      <w:r>
        <w:rPr>
          <w:rFonts w:ascii="Times New Roman" w:eastAsia="Times New Roman" w:hAnsi="Times New Roman" w:cs="Times New Roman"/>
          <w:i/>
          <w:sz w:val="24"/>
          <w:szCs w:val="24"/>
        </w:rPr>
        <w:t>Technological Forecasting &amp; Social Change, 146</w:t>
      </w:r>
      <w:r>
        <w:rPr>
          <w:rFonts w:ascii="Times New Roman" w:eastAsia="Times New Roman" w:hAnsi="Times New Roman" w:cs="Times New Roman"/>
          <w:sz w:val="24"/>
          <w:szCs w:val="24"/>
        </w:rPr>
        <w:t xml:space="preserve">, 380-289. doi:10.1016/j.techfore.2019.06.006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Armeanu, D. S., Vintilă, G., &amp; Ghergina, S. C. (2017). </w:t>
      </w:r>
      <w:proofErr w:type="gramStart"/>
      <w:r>
        <w:rPr>
          <w:rFonts w:ascii="Times New Roman" w:eastAsia="Times New Roman" w:hAnsi="Times New Roman" w:cs="Times New Roman"/>
          <w:sz w:val="24"/>
          <w:szCs w:val="24"/>
        </w:rPr>
        <w:t>Does Renewable Energy Drive Sustainable Economic Growth?</w:t>
      </w:r>
      <w:proofErr w:type="gramEnd"/>
      <w:r>
        <w:rPr>
          <w:rFonts w:ascii="Times New Roman" w:eastAsia="Times New Roman" w:hAnsi="Times New Roman" w:cs="Times New Roman"/>
          <w:sz w:val="24"/>
          <w:szCs w:val="24"/>
        </w:rPr>
        <w:t xml:space="preserve"> Multivariate Panel Data Evidence for EU-28 Countries. </w:t>
      </w:r>
      <w:r>
        <w:rPr>
          <w:rFonts w:ascii="Times New Roman" w:eastAsia="Times New Roman" w:hAnsi="Times New Roman" w:cs="Times New Roman"/>
          <w:i/>
          <w:sz w:val="24"/>
          <w:szCs w:val="24"/>
        </w:rPr>
        <w:t>Energies, 10</w:t>
      </w:r>
      <w:r>
        <w:rPr>
          <w:rFonts w:ascii="Times New Roman" w:eastAsia="Times New Roman" w:hAnsi="Times New Roman" w:cs="Times New Roman"/>
          <w:sz w:val="24"/>
          <w:szCs w:val="24"/>
        </w:rPr>
        <w:t xml:space="preserve">(3), 1-21.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10.3390/en10030381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Arocena, R., &amp; Senker, P. (2003). Technology, Inequality, and Underdevelopment: The Case of Latin America. </w:t>
      </w:r>
      <w:r>
        <w:rPr>
          <w:rFonts w:ascii="Times New Roman" w:eastAsia="Times New Roman" w:hAnsi="Times New Roman" w:cs="Times New Roman"/>
          <w:i/>
          <w:sz w:val="24"/>
          <w:szCs w:val="24"/>
        </w:rPr>
        <w:t>Science, Technology, &amp; Human Values, 28</w:t>
      </w:r>
      <w:r>
        <w:rPr>
          <w:rFonts w:ascii="Times New Roman" w:eastAsia="Times New Roman" w:hAnsi="Times New Roman" w:cs="Times New Roman"/>
          <w:sz w:val="24"/>
          <w:szCs w:val="24"/>
        </w:rPr>
        <w:t xml:space="preserve">(1), 15-33. Retrieved from </w:t>
      </w:r>
      <w:hyperlink r:id="rId12">
        <w:r>
          <w:rPr>
            <w:rFonts w:ascii="Times New Roman" w:eastAsia="Times New Roman" w:hAnsi="Times New Roman" w:cs="Times New Roman"/>
            <w:sz w:val="24"/>
            <w:szCs w:val="24"/>
          </w:rPr>
          <w:t>https://www.jstor.org/stable/1558020</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sidRPr="001E516C">
        <w:rPr>
          <w:rFonts w:ascii="Times New Roman" w:eastAsia="Times New Roman" w:hAnsi="Times New Roman" w:cs="Times New Roman"/>
          <w:sz w:val="24"/>
          <w:szCs w:val="24"/>
          <w:lang w:val="fr-FR"/>
        </w:rPr>
        <w:t xml:space="preserve">Barret, C. B., Travis, A. J., &amp; Dasgupta, P. (2011). </w:t>
      </w:r>
      <w:r>
        <w:rPr>
          <w:rFonts w:ascii="Times New Roman" w:eastAsia="Times New Roman" w:hAnsi="Times New Roman" w:cs="Times New Roman"/>
          <w:sz w:val="24"/>
          <w:szCs w:val="24"/>
        </w:rPr>
        <w:t xml:space="preserve">On biodiversity conservation and poverty traps. </w:t>
      </w:r>
      <w:r>
        <w:rPr>
          <w:rFonts w:ascii="Times New Roman" w:eastAsia="Times New Roman" w:hAnsi="Times New Roman" w:cs="Times New Roman"/>
          <w:i/>
          <w:sz w:val="24"/>
          <w:szCs w:val="24"/>
        </w:rPr>
        <w:t>Proceedings of the National Academy of Sciences of the United States of America, 108</w:t>
      </w:r>
      <w:r>
        <w:rPr>
          <w:rFonts w:ascii="Times New Roman" w:eastAsia="Times New Roman" w:hAnsi="Times New Roman" w:cs="Times New Roman"/>
          <w:sz w:val="24"/>
          <w:szCs w:val="24"/>
        </w:rPr>
        <w:t xml:space="preserve">(34), 12907-13912. doi:10.1073/pnas.1011521108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Bélanger, F. &amp; Carter, L. (2009). The impact of the digital divide on e-government use. </w:t>
      </w:r>
      <w:r>
        <w:rPr>
          <w:rFonts w:ascii="Times New Roman" w:eastAsia="Times New Roman" w:hAnsi="Times New Roman" w:cs="Times New Roman"/>
          <w:i/>
          <w:sz w:val="24"/>
          <w:szCs w:val="24"/>
        </w:rPr>
        <w:t>Communications of the ACM, 52</w:t>
      </w:r>
      <w:r>
        <w:rPr>
          <w:rFonts w:ascii="Times New Roman" w:eastAsia="Times New Roman" w:hAnsi="Times New Roman" w:cs="Times New Roman"/>
          <w:sz w:val="24"/>
          <w:szCs w:val="24"/>
        </w:rPr>
        <w:t xml:space="preserve">(4), 132-135. doi:10.1145/1498765.1498801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Belkhir, L., &amp; Elmeligi, A. (2018). Assessing ICT global emissions footprint: Trends to 2040 &amp; recommendations. </w:t>
      </w:r>
      <w:r>
        <w:rPr>
          <w:rFonts w:ascii="Times New Roman" w:eastAsia="Times New Roman" w:hAnsi="Times New Roman" w:cs="Times New Roman"/>
          <w:i/>
          <w:sz w:val="24"/>
          <w:szCs w:val="24"/>
        </w:rPr>
        <w:t>Journal of Cleaner Production, 177</w:t>
      </w:r>
      <w:r>
        <w:rPr>
          <w:rFonts w:ascii="Times New Roman" w:eastAsia="Times New Roman" w:hAnsi="Times New Roman" w:cs="Times New Roman"/>
          <w:sz w:val="24"/>
          <w:szCs w:val="24"/>
        </w:rPr>
        <w:t xml:space="preserve">, 448-463. </w:t>
      </w:r>
      <w:hyperlink r:id="rId13">
        <w:r>
          <w:rPr>
            <w:rFonts w:ascii="Times New Roman" w:eastAsia="Times New Roman" w:hAnsi="Times New Roman" w:cs="Times New Roman"/>
            <w:sz w:val="24"/>
            <w:szCs w:val="24"/>
          </w:rPr>
          <w:t>doi:10.1016/j.jclepro.2017.12.239</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Berthe, A., &amp; Elie, L. (2015). Mechanisms explaining the impact of economic inequality on environmental deterioration. </w:t>
      </w:r>
      <w:r>
        <w:rPr>
          <w:rFonts w:ascii="Times New Roman" w:eastAsia="Times New Roman" w:hAnsi="Times New Roman" w:cs="Times New Roman"/>
          <w:i/>
          <w:sz w:val="24"/>
          <w:szCs w:val="24"/>
        </w:rPr>
        <w:t>Ecological Economics, 116</w:t>
      </w:r>
      <w:r>
        <w:rPr>
          <w:rFonts w:ascii="Times New Roman" w:eastAsia="Times New Roman" w:hAnsi="Times New Roman" w:cs="Times New Roman"/>
          <w:sz w:val="24"/>
          <w:szCs w:val="24"/>
        </w:rPr>
        <w:t xml:space="preserve">, 191-200. </w:t>
      </w:r>
      <w:hyperlink r:id="rId14">
        <w:r>
          <w:rPr>
            <w:rFonts w:ascii="Times New Roman" w:eastAsia="Times New Roman" w:hAnsi="Times New Roman" w:cs="Times New Roman"/>
            <w:sz w:val="24"/>
            <w:szCs w:val="24"/>
          </w:rPr>
          <w:t>doi:10.1016/j.ecolecon.2015.04.026</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Boyce, J. K. (1994). Inequality as a cause of environmental degradation. </w:t>
      </w:r>
      <w:r>
        <w:rPr>
          <w:rFonts w:ascii="Times New Roman" w:eastAsia="Times New Roman" w:hAnsi="Times New Roman" w:cs="Times New Roman"/>
          <w:i/>
          <w:sz w:val="24"/>
          <w:szCs w:val="24"/>
        </w:rPr>
        <w:t>Ecological Economics, 11</w:t>
      </w:r>
      <w:r>
        <w:rPr>
          <w:rFonts w:ascii="Times New Roman" w:eastAsia="Times New Roman" w:hAnsi="Times New Roman" w:cs="Times New Roman"/>
          <w:sz w:val="24"/>
          <w:szCs w:val="24"/>
        </w:rPr>
        <w:t xml:space="preserve">(3), 169-178.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10.1016/0921-8009(94)90198-8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Bowles, S., &amp; Park, Y. (2005). Emulation, inequality, and work hours: was Thorsten Veblen right? </w:t>
      </w:r>
      <w:r>
        <w:rPr>
          <w:rFonts w:ascii="Times New Roman" w:eastAsia="Times New Roman" w:hAnsi="Times New Roman" w:cs="Times New Roman"/>
          <w:i/>
          <w:sz w:val="24"/>
          <w:szCs w:val="24"/>
        </w:rPr>
        <w:t>The Economic Journal, 115</w:t>
      </w:r>
      <w:r>
        <w:rPr>
          <w:rFonts w:ascii="Times New Roman" w:eastAsia="Times New Roman" w:hAnsi="Times New Roman" w:cs="Times New Roman"/>
          <w:sz w:val="24"/>
          <w:szCs w:val="24"/>
        </w:rPr>
        <w:t xml:space="preserve">(507), 397–412. </w:t>
      </w:r>
      <w:hyperlink r:id="rId15">
        <w:r>
          <w:rPr>
            <w:rFonts w:ascii="Times New Roman" w:eastAsia="Times New Roman" w:hAnsi="Times New Roman" w:cs="Times New Roman"/>
            <w:sz w:val="24"/>
            <w:szCs w:val="24"/>
          </w:rPr>
          <w:t>doi:10.1111/j.1468-0297.2005.01042.x</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Bretschger, L. (2005). Economic of Technological Change and the Natural Environment: How Effective are Innovations as a Remedy for Resource </w:t>
      </w:r>
      <w:proofErr w:type="gramStart"/>
      <w:r>
        <w:rPr>
          <w:rFonts w:ascii="Times New Roman" w:eastAsia="Times New Roman" w:hAnsi="Times New Roman" w:cs="Times New Roman"/>
          <w:sz w:val="24"/>
          <w:szCs w:val="24"/>
        </w:rPr>
        <w:t>Scarcity?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Ecological Economics, 54</w:t>
      </w:r>
      <w:r>
        <w:rPr>
          <w:rFonts w:ascii="Times New Roman" w:eastAsia="Times New Roman" w:hAnsi="Times New Roman" w:cs="Times New Roman"/>
          <w:sz w:val="24"/>
          <w:szCs w:val="24"/>
        </w:rPr>
        <w:t xml:space="preserve">(2), 148-163. doi:10.1016/j.ecolecon.2004.12.026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Chancerel, P., Marwede, M., Nissen, F. N., &amp; Lang, K-D. (2015). Estimating the quantities of critical metals embedded in ICT and consumer equipment. </w:t>
      </w:r>
      <w:r>
        <w:rPr>
          <w:rFonts w:ascii="Times New Roman" w:eastAsia="Times New Roman" w:hAnsi="Times New Roman" w:cs="Times New Roman"/>
          <w:i/>
          <w:sz w:val="24"/>
          <w:szCs w:val="24"/>
        </w:rPr>
        <w:t>Resources, conservation and recycling, 98</w:t>
      </w:r>
      <w:r>
        <w:rPr>
          <w:rFonts w:ascii="Times New Roman" w:eastAsia="Times New Roman" w:hAnsi="Times New Roman" w:cs="Times New Roman"/>
          <w:sz w:val="24"/>
          <w:szCs w:val="24"/>
        </w:rPr>
        <w:t xml:space="preserve">, 9-18. </w:t>
      </w:r>
      <w:hyperlink r:id="rId16">
        <w:r>
          <w:rPr>
            <w:rFonts w:ascii="Times New Roman" w:eastAsia="Times New Roman" w:hAnsi="Times New Roman" w:cs="Times New Roman"/>
            <w:sz w:val="24"/>
            <w:szCs w:val="24"/>
          </w:rPr>
          <w:t>doi:10.1016/j.resconrec.2015.03.003</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S., &amp; Ravallion, M. (2010). The developing world is poorer than we thought, but no less successful in the fight against poverty. </w:t>
      </w:r>
      <w:r>
        <w:rPr>
          <w:rFonts w:ascii="Times New Roman" w:eastAsia="Times New Roman" w:hAnsi="Times New Roman" w:cs="Times New Roman"/>
          <w:i/>
          <w:sz w:val="24"/>
          <w:szCs w:val="24"/>
        </w:rPr>
        <w:t>The Quarterly Journal of Economics, 125</w:t>
      </w:r>
      <w:r>
        <w:rPr>
          <w:rFonts w:ascii="Times New Roman" w:eastAsia="Times New Roman" w:hAnsi="Times New Roman" w:cs="Times New Roman"/>
          <w:sz w:val="24"/>
          <w:szCs w:val="24"/>
        </w:rPr>
        <w:t xml:space="preserve">(4), 1577–1625. </w:t>
      </w:r>
      <w:hyperlink r:id="rId17">
        <w:r>
          <w:rPr>
            <w:rFonts w:ascii="Times New Roman" w:eastAsia="Times New Roman" w:hAnsi="Times New Roman" w:cs="Times New Roman"/>
            <w:sz w:val="24"/>
            <w:szCs w:val="24"/>
          </w:rPr>
          <w:t>doi:10.1162/qjec.2010.125.4.1577</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Chetty, K., Aneja, U., Mishra, V., Gcora, N., &amp; Josie, J. (2018). Bridging the digital divide in the G20: skills for the new age. </w:t>
      </w:r>
      <w:r>
        <w:rPr>
          <w:rFonts w:ascii="Times New Roman" w:eastAsia="Times New Roman" w:hAnsi="Times New Roman" w:cs="Times New Roman"/>
          <w:i/>
          <w:sz w:val="24"/>
          <w:szCs w:val="24"/>
        </w:rPr>
        <w:t>Economics, 12</w:t>
      </w:r>
      <w:r>
        <w:rPr>
          <w:rFonts w:ascii="Times New Roman" w:eastAsia="Times New Roman" w:hAnsi="Times New Roman" w:cs="Times New Roman"/>
          <w:sz w:val="24"/>
          <w:szCs w:val="24"/>
        </w:rPr>
        <w:t xml:space="preserve">(24), 1-21. doi:10.5018/economics-ejoumal.ja.2018-24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Clark, B., Auerbach, D., &amp; Longo, S. B. (2018). The Bottom Line: Capital’s Production of Social Inequalities and Environmental Degradation. </w:t>
      </w:r>
      <w:r>
        <w:rPr>
          <w:rFonts w:ascii="Times New Roman" w:eastAsia="Times New Roman" w:hAnsi="Times New Roman" w:cs="Times New Roman"/>
          <w:i/>
          <w:sz w:val="24"/>
          <w:szCs w:val="24"/>
        </w:rPr>
        <w:t>Journal of Environmental Studies and Sciences, 8</w:t>
      </w:r>
      <w:r>
        <w:rPr>
          <w:rFonts w:ascii="Times New Roman" w:eastAsia="Times New Roman" w:hAnsi="Times New Roman" w:cs="Times New Roman"/>
          <w:sz w:val="24"/>
          <w:szCs w:val="24"/>
        </w:rPr>
        <w:t xml:space="preserve">(4), 562-569.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10.1007/s13412-018-0505-6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Cushing, L., Morello-Frosch, R., Wander, M., &amp; Pastor, M. (2015). The Haves, the Have-Nots, and the Health of Everyone: The Relationship </w:t>
      </w:r>
      <w:proofErr w:type="gramStart"/>
      <w:r>
        <w:rPr>
          <w:rFonts w:ascii="Times New Roman" w:eastAsia="Times New Roman" w:hAnsi="Times New Roman" w:cs="Times New Roman"/>
          <w:sz w:val="24"/>
          <w:szCs w:val="24"/>
        </w:rPr>
        <w:t>Between</w:t>
      </w:r>
      <w:proofErr w:type="gramEnd"/>
      <w:r>
        <w:rPr>
          <w:rFonts w:ascii="Times New Roman" w:eastAsia="Times New Roman" w:hAnsi="Times New Roman" w:cs="Times New Roman"/>
          <w:sz w:val="24"/>
          <w:szCs w:val="24"/>
        </w:rPr>
        <w:t xml:space="preserve"> Social Inequality and Environmental Quality. </w:t>
      </w:r>
      <w:r>
        <w:rPr>
          <w:rFonts w:ascii="Times New Roman" w:eastAsia="Times New Roman" w:hAnsi="Times New Roman" w:cs="Times New Roman"/>
          <w:i/>
          <w:sz w:val="24"/>
          <w:szCs w:val="24"/>
        </w:rPr>
        <w:t>Annual Review of Public Health, 36</w:t>
      </w:r>
      <w:r>
        <w:rPr>
          <w:rFonts w:ascii="Times New Roman" w:eastAsia="Times New Roman" w:hAnsi="Times New Roman" w:cs="Times New Roman"/>
          <w:sz w:val="24"/>
          <w:szCs w:val="24"/>
        </w:rPr>
        <w:t xml:space="preserve">, 193-209.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10.1146/annurev-publhealth-031914-122646.</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Dao, M. C., Das, M., Koczan, Z., &amp; Weicheng, L. (2017). Why Is Labor Receiving a Smaller Share of Global Income? Theory and Empirical Evidence. </w:t>
      </w:r>
      <w:r>
        <w:rPr>
          <w:rFonts w:ascii="Times New Roman" w:eastAsia="Times New Roman" w:hAnsi="Times New Roman" w:cs="Times New Roman"/>
          <w:i/>
          <w:sz w:val="24"/>
          <w:szCs w:val="24"/>
        </w:rPr>
        <w:t>International Monetary Fund</w:t>
      </w:r>
      <w:r>
        <w:rPr>
          <w:rFonts w:ascii="Times New Roman" w:eastAsia="Times New Roman" w:hAnsi="Times New Roman" w:cs="Times New Roman"/>
          <w:sz w:val="24"/>
          <w:szCs w:val="24"/>
        </w:rPr>
        <w:t xml:space="preserve">. Retrieved from </w:t>
      </w:r>
      <w:hyperlink r:id="rId18">
        <w:r>
          <w:rPr>
            <w:rFonts w:ascii="Times New Roman" w:eastAsia="Times New Roman" w:hAnsi="Times New Roman" w:cs="Times New Roman"/>
            <w:sz w:val="24"/>
            <w:szCs w:val="24"/>
          </w:rPr>
          <w:t>https://www.imf.org/en/Publications/WP/Issues/2017/07/24/Why-Is-Labor-Receiving-a-Smaller-Share-of-Global-Income-Theory-and-Empirical-Evidence-45102</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Deichmann, U., Goyal, A., &amp; Mishra, D. (2016). Will digital technologies transform agriculture in developing countries? </w:t>
      </w:r>
      <w:r>
        <w:rPr>
          <w:rFonts w:ascii="Times New Roman" w:eastAsia="Times New Roman" w:hAnsi="Times New Roman" w:cs="Times New Roman"/>
          <w:i/>
          <w:sz w:val="24"/>
          <w:szCs w:val="24"/>
        </w:rPr>
        <w:t>Agricultural Economics, 47</w:t>
      </w:r>
      <w:r>
        <w:rPr>
          <w:rFonts w:ascii="Times New Roman" w:eastAsia="Times New Roman" w:hAnsi="Times New Roman" w:cs="Times New Roman"/>
          <w:sz w:val="24"/>
          <w:szCs w:val="24"/>
        </w:rPr>
        <w:t xml:space="preserve">(1), 21-33. </w:t>
      </w:r>
      <w:hyperlink r:id="rId19">
        <w:r>
          <w:rPr>
            <w:rFonts w:ascii="Times New Roman" w:eastAsia="Times New Roman" w:hAnsi="Times New Roman" w:cs="Times New Roman"/>
            <w:sz w:val="24"/>
            <w:szCs w:val="24"/>
          </w:rPr>
          <w:t>doi:10.1111/agec.12300</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Ding, Y., Zhang, S., Liu, B., Zheng, H., Chang, C., &amp; Ekberg, C. (2019). Recovery of precious metals from electronic waste and spent catalysts: A review. </w:t>
      </w:r>
      <w:r>
        <w:rPr>
          <w:rFonts w:ascii="Times New Roman" w:eastAsia="Times New Roman" w:hAnsi="Times New Roman" w:cs="Times New Roman"/>
          <w:i/>
          <w:sz w:val="24"/>
          <w:szCs w:val="24"/>
        </w:rPr>
        <w:t>Resources, conservation and recycling, 141</w:t>
      </w:r>
      <w:r>
        <w:rPr>
          <w:rFonts w:ascii="Times New Roman" w:eastAsia="Times New Roman" w:hAnsi="Times New Roman" w:cs="Times New Roman"/>
          <w:sz w:val="24"/>
          <w:szCs w:val="24"/>
        </w:rPr>
        <w:t xml:space="preserve">, 284-298. </w:t>
      </w:r>
      <w:hyperlink r:id="rId20">
        <w:r>
          <w:rPr>
            <w:rFonts w:ascii="Times New Roman" w:eastAsia="Times New Roman" w:hAnsi="Times New Roman" w:cs="Times New Roman"/>
            <w:sz w:val="24"/>
            <w:szCs w:val="24"/>
          </w:rPr>
          <w:t>doi:10.1016/j.resconrec.2018.10.041</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Eisenman, R. (2018). Reducing the Digital Divide. </w:t>
      </w:r>
      <w:r>
        <w:rPr>
          <w:rFonts w:ascii="Times New Roman" w:eastAsia="Times New Roman" w:hAnsi="Times New Roman" w:cs="Times New Roman"/>
          <w:i/>
          <w:sz w:val="24"/>
          <w:szCs w:val="24"/>
        </w:rPr>
        <w:t>Journal of Information Ethics, 27</w:t>
      </w:r>
      <w:r>
        <w:rPr>
          <w:rFonts w:ascii="Times New Roman" w:eastAsia="Times New Roman" w:hAnsi="Times New Roman" w:cs="Times New Roman"/>
          <w:sz w:val="24"/>
          <w:szCs w:val="24"/>
        </w:rPr>
        <w:t xml:space="preserve">(1), 12-13. Retrieved from </w:t>
      </w:r>
      <w:hyperlink r:id="rId21">
        <w:r>
          <w:rPr>
            <w:rFonts w:ascii="Times New Roman" w:eastAsia="Times New Roman" w:hAnsi="Times New Roman" w:cs="Times New Roman"/>
            <w:sz w:val="24"/>
            <w:szCs w:val="24"/>
          </w:rPr>
          <w:t>https://www.questia.com/library/journal/1P4-2064892110/reducing-the-digital-divide</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Fong, M. W. L. (2009). Digital divide: the case of developing countries. Issues in Informing Science &amp; Information Technology, 6, 471-478.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10.28945/1074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Freeman, C. (2011). Technology, Inequality and Economic Growth. </w:t>
      </w:r>
      <w:r>
        <w:rPr>
          <w:rFonts w:ascii="Times New Roman" w:eastAsia="Times New Roman" w:hAnsi="Times New Roman" w:cs="Times New Roman"/>
          <w:i/>
          <w:sz w:val="24"/>
          <w:szCs w:val="24"/>
        </w:rPr>
        <w:t>Innovation and Development, 1</w:t>
      </w:r>
      <w:r>
        <w:rPr>
          <w:rFonts w:ascii="Times New Roman" w:eastAsia="Times New Roman" w:hAnsi="Times New Roman" w:cs="Times New Roman"/>
          <w:sz w:val="24"/>
          <w:szCs w:val="24"/>
        </w:rPr>
        <w:t xml:space="preserve">(1), 11-24. doi:10.1080/2157930X.2010.551062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Fuchs, C., &amp; Horak, E. (2008). Africa and the Digital Divide. </w:t>
      </w:r>
      <w:r>
        <w:rPr>
          <w:rFonts w:ascii="Times New Roman" w:eastAsia="Times New Roman" w:hAnsi="Times New Roman" w:cs="Times New Roman"/>
          <w:i/>
          <w:sz w:val="24"/>
          <w:szCs w:val="24"/>
        </w:rPr>
        <w:t>Telematics and Informatics, 25</w:t>
      </w:r>
      <w:r>
        <w:rPr>
          <w:rFonts w:ascii="Times New Roman" w:eastAsia="Times New Roman" w:hAnsi="Times New Roman" w:cs="Times New Roman"/>
          <w:sz w:val="24"/>
          <w:szCs w:val="24"/>
        </w:rPr>
        <w:t xml:space="preserve">(2), 99-116. </w:t>
      </w:r>
      <w:hyperlink r:id="rId22">
        <w:r>
          <w:rPr>
            <w:rFonts w:ascii="Times New Roman" w:eastAsia="Times New Roman" w:hAnsi="Times New Roman" w:cs="Times New Roman"/>
            <w:sz w:val="24"/>
            <w:szCs w:val="24"/>
          </w:rPr>
          <w:t>doi:10.1016/j.tele.2006.06.004</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Ghimire, R., Ferreira, S., &amp; Dorfman, J. H. (2015). Flood-Induced Displacement and Civil Conflict. </w:t>
      </w:r>
      <w:r>
        <w:rPr>
          <w:rFonts w:ascii="Times New Roman" w:eastAsia="Times New Roman" w:hAnsi="Times New Roman" w:cs="Times New Roman"/>
          <w:i/>
          <w:sz w:val="24"/>
          <w:szCs w:val="24"/>
        </w:rPr>
        <w:t>World Development, 66</w:t>
      </w:r>
      <w:r>
        <w:rPr>
          <w:rFonts w:ascii="Times New Roman" w:eastAsia="Times New Roman" w:hAnsi="Times New Roman" w:cs="Times New Roman"/>
          <w:sz w:val="24"/>
          <w:szCs w:val="24"/>
        </w:rPr>
        <w:t xml:space="preserve">, 614-628. </w:t>
      </w:r>
      <w:hyperlink r:id="rId23">
        <w:r>
          <w:rPr>
            <w:rFonts w:ascii="Times New Roman" w:eastAsia="Times New Roman" w:hAnsi="Times New Roman" w:cs="Times New Roman"/>
            <w:sz w:val="24"/>
            <w:szCs w:val="24"/>
          </w:rPr>
          <w:t>doi:10.1016/j.worlddev.2014.09.021</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Hamann, M., Berry, K., Chaigneau, T., Curry, T., Heilmayr, R., Henriksson, P. J. G., Hentati-Sundberg, J., Jina, A., Lindkvist, E., Lopez-Maldonado, Y., Nieminen, E., Piaggio, M., Qiu, J., Rocha, J. C., Schill, C., Shepon, A., Tilman, A. R., van den Bijgaart, I., Wu, T. (2018). Inequality and the Biopshere. </w:t>
      </w:r>
      <w:r>
        <w:rPr>
          <w:rFonts w:ascii="Times New Roman" w:eastAsia="Times New Roman" w:hAnsi="Times New Roman" w:cs="Times New Roman"/>
          <w:i/>
          <w:sz w:val="24"/>
          <w:szCs w:val="24"/>
        </w:rPr>
        <w:t>Annual Review of Environment and Resources, 43</w:t>
      </w:r>
      <w:r>
        <w:rPr>
          <w:rFonts w:ascii="Times New Roman" w:eastAsia="Times New Roman" w:hAnsi="Times New Roman" w:cs="Times New Roman"/>
          <w:sz w:val="24"/>
          <w:szCs w:val="24"/>
        </w:rPr>
        <w:t xml:space="preserve">, 61-83. </w:t>
      </w:r>
      <w:hyperlink r:id="rId24">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10.1146/annurev-environ-102017-025949</w:t>
        </w:r>
      </w:hyperlink>
      <w:r>
        <w:rPr>
          <w:rFonts w:ascii="Times New Roman" w:eastAsia="Times New Roman" w:hAnsi="Times New Roman" w:cs="Times New Roman"/>
          <w:sz w:val="24"/>
          <w:szCs w:val="24"/>
        </w:rPr>
        <w:t xml:space="preserve"> </w:t>
      </w:r>
    </w:p>
    <w:p w:rsidR="00C30C8B" w:rsidRPr="001E516C" w:rsidRDefault="001E516C">
      <w:pPr>
        <w:spacing w:after="160"/>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rPr>
        <w:t xml:space="preserve">Hayden, A., &amp; Shandra, J. M. (2009). Hours of work and the ecological footprint of nations: an exploratory analysis. </w:t>
      </w:r>
      <w:r w:rsidRPr="001E516C">
        <w:rPr>
          <w:rFonts w:ascii="Times New Roman" w:eastAsia="Times New Roman" w:hAnsi="Times New Roman" w:cs="Times New Roman"/>
          <w:sz w:val="24"/>
          <w:szCs w:val="24"/>
          <w:lang w:val="fr-FR"/>
        </w:rPr>
        <w:t xml:space="preserve">Local Environment, 14(6), 575–600. </w:t>
      </w:r>
      <w:hyperlink r:id="rId25">
        <w:r w:rsidRPr="001E516C">
          <w:rPr>
            <w:rFonts w:ascii="Times New Roman" w:eastAsia="Times New Roman" w:hAnsi="Times New Roman" w:cs="Times New Roman"/>
            <w:sz w:val="24"/>
            <w:szCs w:val="24"/>
            <w:lang w:val="fr-FR"/>
          </w:rPr>
          <w:t>doi:10.1080/13549830902904185</w:t>
        </w:r>
      </w:hyperlink>
      <w:r w:rsidRPr="001E516C">
        <w:rPr>
          <w:rFonts w:ascii="Times New Roman" w:eastAsia="Times New Roman" w:hAnsi="Times New Roman" w:cs="Times New Roman"/>
          <w:sz w:val="24"/>
          <w:szCs w:val="24"/>
          <w:lang w:val="fr-FR"/>
        </w:rPr>
        <w:t xml:space="preserve"> </w:t>
      </w:r>
    </w:p>
    <w:p w:rsidR="00C30C8B" w:rsidRDefault="001E516C">
      <w:pPr>
        <w:spacing w:after="160"/>
        <w:rPr>
          <w:rFonts w:ascii="Times New Roman" w:eastAsia="Times New Roman" w:hAnsi="Times New Roman" w:cs="Times New Roman"/>
          <w:sz w:val="24"/>
          <w:szCs w:val="24"/>
        </w:rPr>
      </w:pPr>
      <w:r w:rsidRPr="001E516C">
        <w:rPr>
          <w:rFonts w:ascii="Times New Roman" w:eastAsia="Times New Roman" w:hAnsi="Times New Roman" w:cs="Times New Roman"/>
          <w:sz w:val="24"/>
          <w:szCs w:val="24"/>
          <w:lang w:val="fr-FR"/>
        </w:rPr>
        <w:t xml:space="preserve">Helsper, E. J., van Deursen, A. J. A. M. (2017). </w:t>
      </w:r>
      <w:r>
        <w:rPr>
          <w:rFonts w:ascii="Times New Roman" w:eastAsia="Times New Roman" w:hAnsi="Times New Roman" w:cs="Times New Roman"/>
          <w:sz w:val="24"/>
          <w:szCs w:val="24"/>
        </w:rPr>
        <w:t xml:space="preserve">Do the rich get digitally richer? : Quantity and quality of support for digital engagement. </w:t>
      </w:r>
      <w:r>
        <w:rPr>
          <w:rFonts w:ascii="Times New Roman" w:eastAsia="Times New Roman" w:hAnsi="Times New Roman" w:cs="Times New Roman"/>
          <w:i/>
          <w:sz w:val="24"/>
          <w:szCs w:val="24"/>
        </w:rPr>
        <w:t>Communication Science, Faculty of Behavioural, Management and Social Sciences, 20</w:t>
      </w:r>
      <w:r>
        <w:rPr>
          <w:rFonts w:ascii="Times New Roman" w:eastAsia="Times New Roman" w:hAnsi="Times New Roman" w:cs="Times New Roman"/>
          <w:sz w:val="24"/>
          <w:szCs w:val="24"/>
        </w:rPr>
        <w:t xml:space="preserve">(5), 700-714. doi:10.1080/1369118x.2016.1203454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Hilbert, M. (2010). When is Cheap, Cheap Enough to Bridge the Digital Divide? Modeling Income Related Structural Challenges of Technology Diffusion in Latin America. </w:t>
      </w:r>
      <w:r>
        <w:rPr>
          <w:rFonts w:ascii="Times New Roman" w:eastAsia="Times New Roman" w:hAnsi="Times New Roman" w:cs="Times New Roman"/>
          <w:i/>
          <w:sz w:val="24"/>
          <w:szCs w:val="24"/>
        </w:rPr>
        <w:t>World Development, 38</w:t>
      </w:r>
      <w:r>
        <w:rPr>
          <w:rFonts w:ascii="Times New Roman" w:eastAsia="Times New Roman" w:hAnsi="Times New Roman" w:cs="Times New Roman"/>
          <w:sz w:val="24"/>
          <w:szCs w:val="24"/>
        </w:rPr>
        <w:t xml:space="preserve">(5), 756-770. </w:t>
      </w:r>
      <w:hyperlink r:id="rId26">
        <w:r>
          <w:rPr>
            <w:rFonts w:ascii="Times New Roman" w:eastAsia="Times New Roman" w:hAnsi="Times New Roman" w:cs="Times New Roman"/>
            <w:sz w:val="24"/>
            <w:szCs w:val="24"/>
          </w:rPr>
          <w:t>doi:10.1016/j.worlddev.2009.11.019</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sidRPr="002305CD">
        <w:rPr>
          <w:rFonts w:ascii="Times New Roman" w:eastAsia="Times New Roman" w:hAnsi="Times New Roman" w:cs="Times New Roman"/>
          <w:sz w:val="24"/>
          <w:szCs w:val="24"/>
          <w:lang w:val="de-DE"/>
        </w:rPr>
        <w:t xml:space="preserve">Hilty, L. M., Arnfalk, P., Erdmann, L., Goodman, J., Lehmann, M., &amp; Wäger, P. A. (2006). </w:t>
      </w:r>
      <w:r>
        <w:rPr>
          <w:rFonts w:ascii="Times New Roman" w:eastAsia="Times New Roman" w:hAnsi="Times New Roman" w:cs="Times New Roman"/>
          <w:sz w:val="24"/>
          <w:szCs w:val="24"/>
        </w:rPr>
        <w:t xml:space="preserve">The Relevance of Information and Communication Technologies for Environmental Sustainability – A Prospective Simulation Study. </w:t>
      </w:r>
      <w:r>
        <w:rPr>
          <w:rFonts w:ascii="Times New Roman" w:eastAsia="Times New Roman" w:hAnsi="Times New Roman" w:cs="Times New Roman"/>
          <w:i/>
          <w:sz w:val="24"/>
          <w:szCs w:val="24"/>
        </w:rPr>
        <w:t xml:space="preserve">Environmental Modelling &amp; </w:t>
      </w:r>
      <w:proofErr w:type="gramStart"/>
      <w:r>
        <w:rPr>
          <w:rFonts w:ascii="Times New Roman" w:eastAsia="Times New Roman" w:hAnsi="Times New Roman" w:cs="Times New Roman"/>
          <w:i/>
          <w:sz w:val="24"/>
          <w:szCs w:val="24"/>
        </w:rPr>
        <w:t>Software :</w:t>
      </w:r>
      <w:proofErr w:type="gramEnd"/>
      <w:r>
        <w:rPr>
          <w:rFonts w:ascii="Times New Roman" w:eastAsia="Times New Roman" w:hAnsi="Times New Roman" w:cs="Times New Roman"/>
          <w:i/>
          <w:sz w:val="24"/>
          <w:szCs w:val="24"/>
        </w:rPr>
        <w:t xml:space="preserve"> With Environment Data News, 21</w:t>
      </w:r>
      <w:r>
        <w:rPr>
          <w:rFonts w:ascii="Times New Roman" w:eastAsia="Times New Roman" w:hAnsi="Times New Roman" w:cs="Times New Roman"/>
          <w:sz w:val="24"/>
          <w:szCs w:val="24"/>
        </w:rPr>
        <w:t xml:space="preserve">(11), 1618-1629. doi:10.1016/j.envsoft.2006.05.007.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Hilty, L.M. and Ruddy, T.F. (2010), Sustainable development and ICT interpreted in a natural science context. Information, </w:t>
      </w:r>
      <w:r>
        <w:rPr>
          <w:rFonts w:ascii="Times New Roman" w:eastAsia="Times New Roman" w:hAnsi="Times New Roman" w:cs="Times New Roman"/>
          <w:i/>
          <w:sz w:val="24"/>
          <w:szCs w:val="24"/>
        </w:rPr>
        <w:t>Communication &amp; Society, 13</w:t>
      </w:r>
      <w:r>
        <w:rPr>
          <w:rFonts w:ascii="Times New Roman" w:eastAsia="Times New Roman" w:hAnsi="Times New Roman" w:cs="Times New Roman"/>
          <w:sz w:val="24"/>
          <w:szCs w:val="24"/>
        </w:rPr>
        <w:t xml:space="preserve">(1), 7-22. </w:t>
      </w:r>
      <w:hyperlink r:id="rId27">
        <w:r>
          <w:rPr>
            <w:rFonts w:ascii="Times New Roman" w:eastAsia="Times New Roman" w:hAnsi="Times New Roman" w:cs="Times New Roman"/>
            <w:sz w:val="24"/>
            <w:szCs w:val="24"/>
          </w:rPr>
          <w:t>doi:10.1080/13691180903322805./</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Holgersson, S., Steenari, B-M., Björkman, M., &amp; Cullbrand, K. (2018). Analysis of the metal content of small-size Waste Electric and Electronic Equipment (WEEE) printed circuit-boards part 1: Internet routers, mobile phones and smartphones. Resources, conservation and recycling, 133, 300-308. </w:t>
      </w:r>
      <w:hyperlink r:id="rId28">
        <w:r>
          <w:rPr>
            <w:rFonts w:ascii="Times New Roman" w:eastAsia="Times New Roman" w:hAnsi="Times New Roman" w:cs="Times New Roman"/>
            <w:sz w:val="24"/>
            <w:szCs w:val="24"/>
          </w:rPr>
          <w:t>doi:10.1016/j.resconrec.2017.02.011</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L. B., Hu, J. L., &amp; Xia, N. C. (2016). Industrial energy–pollution performance of regions in China based on a unified framework combining static and dynamic indexes. </w:t>
      </w:r>
      <w:r>
        <w:rPr>
          <w:rFonts w:ascii="Times New Roman" w:eastAsia="Times New Roman" w:hAnsi="Times New Roman" w:cs="Times New Roman"/>
          <w:i/>
          <w:sz w:val="24"/>
          <w:szCs w:val="24"/>
        </w:rPr>
        <w:t>Journal of Cleaner Production, 131</w:t>
      </w:r>
      <w:r>
        <w:rPr>
          <w:rFonts w:ascii="Times New Roman" w:eastAsia="Times New Roman" w:hAnsi="Times New Roman" w:cs="Times New Roman"/>
          <w:sz w:val="24"/>
          <w:szCs w:val="24"/>
        </w:rPr>
        <w:t xml:space="preserve">, 341–350. doi:10.1016/j.jclepro.2016.05.025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Jaumotte, F., Lall, S., &amp; Papagergiou, S. (2013). </w:t>
      </w:r>
      <w:proofErr w:type="gramStart"/>
      <w:r>
        <w:rPr>
          <w:rFonts w:ascii="Times New Roman" w:eastAsia="Times New Roman" w:hAnsi="Times New Roman" w:cs="Times New Roman"/>
          <w:sz w:val="24"/>
          <w:szCs w:val="24"/>
        </w:rPr>
        <w:t>Rising Income Inequality: Technology, or Trade and Financial Globalization?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IMF Economic Review, 61</w:t>
      </w:r>
      <w:r>
        <w:rPr>
          <w:rFonts w:ascii="Times New Roman" w:eastAsia="Times New Roman" w:hAnsi="Times New Roman" w:cs="Times New Roman"/>
          <w:sz w:val="24"/>
          <w:szCs w:val="24"/>
        </w:rPr>
        <w:t xml:space="preserve">(2), 271-309. Retrieved from https://www.jstor.org/stable/43302166.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Kondor, D., Posfai, M., Csabai, I., &amp; Vattay, G. (2014). </w:t>
      </w:r>
      <w:proofErr w:type="gramStart"/>
      <w:r>
        <w:rPr>
          <w:rFonts w:ascii="Times New Roman" w:eastAsia="Times New Roman" w:hAnsi="Times New Roman" w:cs="Times New Roman"/>
          <w:sz w:val="24"/>
          <w:szCs w:val="24"/>
        </w:rPr>
        <w:t>Do the Rich Get Richer?</w:t>
      </w:r>
      <w:proofErr w:type="gramEnd"/>
      <w:r>
        <w:rPr>
          <w:rFonts w:ascii="Times New Roman" w:eastAsia="Times New Roman" w:hAnsi="Times New Roman" w:cs="Times New Roman"/>
          <w:sz w:val="24"/>
          <w:szCs w:val="24"/>
        </w:rPr>
        <w:t xml:space="preserve"> An Empirical Analysis of the Bitcoin Transaction Network. </w:t>
      </w:r>
      <w:r>
        <w:rPr>
          <w:rFonts w:ascii="Times New Roman" w:eastAsia="Times New Roman" w:hAnsi="Times New Roman" w:cs="Times New Roman"/>
          <w:i/>
          <w:sz w:val="24"/>
          <w:szCs w:val="24"/>
        </w:rPr>
        <w:t>PLoS ONE, 9</w:t>
      </w:r>
      <w:r>
        <w:rPr>
          <w:rFonts w:ascii="Times New Roman" w:eastAsia="Times New Roman" w:hAnsi="Times New Roman" w:cs="Times New Roman"/>
          <w:sz w:val="24"/>
          <w:szCs w:val="24"/>
        </w:rPr>
        <w:t xml:space="preserve">(2), 1-10. </w:t>
      </w:r>
      <w:hyperlink r:id="rId29">
        <w:r>
          <w:rPr>
            <w:rFonts w:ascii="Times New Roman" w:eastAsia="Times New Roman" w:hAnsi="Times New Roman" w:cs="Times New Roman"/>
            <w:sz w:val="24"/>
            <w:szCs w:val="24"/>
          </w:rPr>
          <w:t>doi:10.1371/journal.pone.0086197</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Krishnamoorthy, Y., Vijayageetha, M., Sakthivel, M., &amp; Sarveswaran. (2018). </w:t>
      </w:r>
      <w:proofErr w:type="gramStart"/>
      <w:r>
        <w:rPr>
          <w:rFonts w:ascii="Times New Roman" w:eastAsia="Times New Roman" w:hAnsi="Times New Roman" w:cs="Times New Roman"/>
          <w:sz w:val="24"/>
          <w:szCs w:val="24"/>
        </w:rPr>
        <w:t>Emerging</w:t>
      </w:r>
      <w:proofErr w:type="gramEnd"/>
      <w:r>
        <w:rPr>
          <w:rFonts w:ascii="Times New Roman" w:eastAsia="Times New Roman" w:hAnsi="Times New Roman" w:cs="Times New Roman"/>
          <w:sz w:val="24"/>
          <w:szCs w:val="24"/>
        </w:rPr>
        <w:t xml:space="preserve"> public health threat of e-waste management: global and Indian perspective. </w:t>
      </w:r>
      <w:r>
        <w:rPr>
          <w:rFonts w:ascii="Times New Roman" w:eastAsia="Times New Roman" w:hAnsi="Times New Roman" w:cs="Times New Roman"/>
          <w:i/>
          <w:sz w:val="24"/>
          <w:szCs w:val="24"/>
        </w:rPr>
        <w:t>Reviews on Environmental Health, 33</w:t>
      </w:r>
      <w:r>
        <w:rPr>
          <w:rFonts w:ascii="Times New Roman" w:eastAsia="Times New Roman" w:hAnsi="Times New Roman" w:cs="Times New Roman"/>
          <w:sz w:val="24"/>
          <w:szCs w:val="24"/>
        </w:rPr>
        <w:t xml:space="preserve">(4), 321-329.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10.1515/reveh-2018-0021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Lake, O. R., Hooper, L., Abdelhamid, A., Bentham, G., Boxall, A. B. A., Draper, A., Fairweather-Tait, S., Hulme, M., Hunter, P. R. Nichols, G., &amp; Waldron, K. W. (2012). Climate Change and Food Security: Health Impacts in Developed Countries. </w:t>
      </w:r>
      <w:r>
        <w:rPr>
          <w:rFonts w:ascii="Times New Roman" w:eastAsia="Times New Roman" w:hAnsi="Times New Roman" w:cs="Times New Roman"/>
          <w:i/>
          <w:sz w:val="24"/>
          <w:szCs w:val="24"/>
        </w:rPr>
        <w:t>Environmental Health Perspectives, 120</w:t>
      </w:r>
      <w:r>
        <w:rPr>
          <w:rFonts w:ascii="Times New Roman" w:eastAsia="Times New Roman" w:hAnsi="Times New Roman" w:cs="Times New Roman"/>
          <w:sz w:val="24"/>
          <w:szCs w:val="24"/>
        </w:rPr>
        <w:t xml:space="preserve">(11), 1520-1526. doi:10.1289/ehp.1104424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 K. C., &amp; Liu, P. W. (2011). Increasing dispersion of skills and rising earnings inequality. </w:t>
      </w:r>
      <w:r>
        <w:rPr>
          <w:rFonts w:ascii="Times New Roman" w:eastAsia="Times New Roman" w:hAnsi="Times New Roman" w:cs="Times New Roman"/>
          <w:i/>
          <w:sz w:val="24"/>
          <w:szCs w:val="24"/>
        </w:rPr>
        <w:t>Journal of Comparative Economics, 39</w:t>
      </w:r>
      <w:r>
        <w:rPr>
          <w:rFonts w:ascii="Times New Roman" w:eastAsia="Times New Roman" w:hAnsi="Times New Roman" w:cs="Times New Roman"/>
          <w:sz w:val="24"/>
          <w:szCs w:val="24"/>
        </w:rPr>
        <w:t xml:space="preserve">(1), 82-91. </w:t>
      </w:r>
      <w:hyperlink r:id="rId30">
        <w:r>
          <w:rPr>
            <w:rFonts w:ascii="Times New Roman" w:eastAsia="Times New Roman" w:hAnsi="Times New Roman" w:cs="Times New Roman"/>
            <w:sz w:val="24"/>
            <w:szCs w:val="24"/>
          </w:rPr>
          <w:t>doi:10.1016/j.jce.2010.05.002</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Lennerfors, T. T., Fors, P., &amp; Rooijen, J. (2015). ICT and Environmental Sustainability in a Changing Society. </w:t>
      </w:r>
      <w:r>
        <w:rPr>
          <w:rFonts w:ascii="Times New Roman" w:eastAsia="Times New Roman" w:hAnsi="Times New Roman" w:cs="Times New Roman"/>
          <w:i/>
          <w:sz w:val="24"/>
          <w:szCs w:val="24"/>
        </w:rPr>
        <w:t>Information Technology &amp; People, 28</w:t>
      </w:r>
      <w:r>
        <w:rPr>
          <w:rFonts w:ascii="Times New Roman" w:eastAsia="Times New Roman" w:hAnsi="Times New Roman" w:cs="Times New Roman"/>
          <w:sz w:val="24"/>
          <w:szCs w:val="24"/>
        </w:rPr>
        <w:t xml:space="preserve">(4), 758-774.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10.1108/ITP-09-2014-0219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Loayza, N., &amp; Rigolini, J. (2016). The Local Impact of Mining on Poverty and Inequality: Evidence from the Commodity Boom in Peru. </w:t>
      </w:r>
      <w:r>
        <w:rPr>
          <w:rFonts w:ascii="Times New Roman" w:eastAsia="Times New Roman" w:hAnsi="Times New Roman" w:cs="Times New Roman"/>
          <w:i/>
          <w:sz w:val="24"/>
          <w:szCs w:val="24"/>
        </w:rPr>
        <w:t>World Development, 84</w:t>
      </w:r>
      <w:r>
        <w:rPr>
          <w:rFonts w:ascii="Times New Roman" w:eastAsia="Times New Roman" w:hAnsi="Times New Roman" w:cs="Times New Roman"/>
          <w:sz w:val="24"/>
          <w:szCs w:val="24"/>
        </w:rPr>
        <w:t>, 219-234. doi:10.1016/j.worlddev.2016.03.005</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Maceviciute, E., &amp; Wilson, T. D. (2018). Digital Means for Reducing Digital Inequality: Literature Review. Informing Science: </w:t>
      </w:r>
      <w:r>
        <w:rPr>
          <w:rFonts w:ascii="Times New Roman" w:eastAsia="Times New Roman" w:hAnsi="Times New Roman" w:cs="Times New Roman"/>
          <w:i/>
          <w:sz w:val="24"/>
          <w:szCs w:val="24"/>
        </w:rPr>
        <w:t>The International Journal of an Emerging Transdiscipline, 21</w:t>
      </w:r>
      <w:r>
        <w:rPr>
          <w:rFonts w:ascii="Times New Roman" w:eastAsia="Times New Roman" w:hAnsi="Times New Roman" w:cs="Times New Roman"/>
          <w:sz w:val="24"/>
          <w:szCs w:val="24"/>
        </w:rPr>
        <w:t xml:space="preserve">, 269-287. </w:t>
      </w:r>
      <w:hyperlink r:id="rId31">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10.28945/4117</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sidRPr="001E516C">
        <w:rPr>
          <w:rFonts w:ascii="Times New Roman" w:eastAsia="Times New Roman" w:hAnsi="Times New Roman" w:cs="Times New Roman"/>
          <w:sz w:val="24"/>
          <w:szCs w:val="24"/>
          <w:lang w:val="de-DE"/>
        </w:rPr>
        <w:t xml:space="preserve">Matuzeviciute, K., Butkus, M., Karaliute, A. (2017). </w:t>
      </w:r>
      <w:r>
        <w:rPr>
          <w:rFonts w:ascii="Times New Roman" w:eastAsia="Times New Roman" w:hAnsi="Times New Roman" w:cs="Times New Roman"/>
          <w:sz w:val="24"/>
          <w:szCs w:val="24"/>
        </w:rPr>
        <w:t xml:space="preserve">Do Technological Innovations Affect Unemployment? Some Empirical Evidence from European Countries. </w:t>
      </w:r>
      <w:r>
        <w:rPr>
          <w:rFonts w:ascii="Times New Roman" w:eastAsia="Times New Roman" w:hAnsi="Times New Roman" w:cs="Times New Roman"/>
          <w:i/>
          <w:sz w:val="24"/>
          <w:szCs w:val="24"/>
        </w:rPr>
        <w:t>Economies, 5</w:t>
      </w:r>
      <w:r>
        <w:rPr>
          <w:rFonts w:ascii="Times New Roman" w:eastAsia="Times New Roman" w:hAnsi="Times New Roman" w:cs="Times New Roman"/>
          <w:sz w:val="24"/>
          <w:szCs w:val="24"/>
        </w:rPr>
        <w:t xml:space="preserve">(4), 2-19.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10.3390/economies5040048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McNamara, E. K., Bronen, R., Fernando, N., &amp; Klepp, S. (2017). The complex decision-making of climate-induced relocation: </w:t>
      </w:r>
      <w:proofErr w:type="gramStart"/>
      <w:r>
        <w:rPr>
          <w:rFonts w:ascii="Times New Roman" w:eastAsia="Times New Roman" w:hAnsi="Times New Roman" w:cs="Times New Roman"/>
          <w:sz w:val="24"/>
          <w:szCs w:val="24"/>
        </w:rPr>
        <w:t>adaptation and loss</w:t>
      </w:r>
      <w:proofErr w:type="gramEnd"/>
      <w:r>
        <w:rPr>
          <w:rFonts w:ascii="Times New Roman" w:eastAsia="Times New Roman" w:hAnsi="Times New Roman" w:cs="Times New Roman"/>
          <w:sz w:val="24"/>
          <w:szCs w:val="24"/>
        </w:rPr>
        <w:t xml:space="preserve"> and damage. </w:t>
      </w:r>
      <w:r>
        <w:rPr>
          <w:rFonts w:ascii="Times New Roman" w:eastAsia="Times New Roman" w:hAnsi="Times New Roman" w:cs="Times New Roman"/>
          <w:i/>
          <w:sz w:val="24"/>
          <w:szCs w:val="24"/>
        </w:rPr>
        <w:t>Climate Policy, 18</w:t>
      </w:r>
      <w:r>
        <w:rPr>
          <w:rFonts w:ascii="Times New Roman" w:eastAsia="Times New Roman" w:hAnsi="Times New Roman" w:cs="Times New Roman"/>
          <w:sz w:val="24"/>
          <w:szCs w:val="24"/>
        </w:rPr>
        <w:t xml:space="preserve">(1), 111-117. </w:t>
      </w:r>
      <w:hyperlink r:id="rId32">
        <w:r>
          <w:rPr>
            <w:rFonts w:ascii="Times New Roman" w:eastAsia="Times New Roman" w:hAnsi="Times New Roman" w:cs="Times New Roman"/>
            <w:sz w:val="24"/>
            <w:szCs w:val="24"/>
          </w:rPr>
          <w:t>doi:10.1080/14693062.2016.1248886</w:t>
        </w:r>
      </w:hyperlink>
      <w:r>
        <w:rPr>
          <w:rFonts w:ascii="Times New Roman" w:eastAsia="Times New Roman" w:hAnsi="Times New Roman" w:cs="Times New Roman"/>
          <w:sz w:val="24"/>
          <w:szCs w:val="24"/>
        </w:rPr>
        <w:t xml:space="preserve"> </w:t>
      </w:r>
    </w:p>
    <w:p w:rsidR="00C30C8B" w:rsidRPr="001E516C" w:rsidRDefault="001E516C">
      <w:pPr>
        <w:spacing w:after="160"/>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rPr>
        <w:t xml:space="preserve">Michaels, G., Natraj, A., &amp; Van Reenen, J. (2014). Has ICT Polarized Skill Demand? Evidence from Eleven Countries over Twenty-Five Years. </w:t>
      </w:r>
      <w:r>
        <w:rPr>
          <w:rFonts w:ascii="Times New Roman" w:eastAsia="Times New Roman" w:hAnsi="Times New Roman" w:cs="Times New Roman"/>
          <w:i/>
          <w:sz w:val="24"/>
          <w:szCs w:val="24"/>
        </w:rPr>
        <w:t>Review of Economics and Statistics, 96</w:t>
      </w:r>
      <w:r>
        <w:rPr>
          <w:rFonts w:ascii="Times New Roman" w:eastAsia="Times New Roman" w:hAnsi="Times New Roman" w:cs="Times New Roman"/>
          <w:sz w:val="24"/>
          <w:szCs w:val="24"/>
        </w:rPr>
        <w:t xml:space="preserve">(1), 60-77. </w:t>
      </w:r>
      <w:hyperlink r:id="rId33">
        <w:r w:rsidRPr="001E516C">
          <w:rPr>
            <w:rFonts w:ascii="Times New Roman" w:eastAsia="Times New Roman" w:hAnsi="Times New Roman" w:cs="Times New Roman"/>
            <w:sz w:val="24"/>
            <w:szCs w:val="24"/>
            <w:lang w:val="de-DE"/>
          </w:rPr>
          <w:t>doi:10.1162/REST_a_00366</w:t>
        </w:r>
      </w:hyperlink>
      <w:r w:rsidRPr="001E516C">
        <w:rPr>
          <w:rFonts w:ascii="Times New Roman" w:eastAsia="Times New Roman" w:hAnsi="Times New Roman" w:cs="Times New Roman"/>
          <w:sz w:val="24"/>
          <w:szCs w:val="24"/>
          <w:lang w:val="de-DE"/>
        </w:rPr>
        <w:t xml:space="preserve"> </w:t>
      </w:r>
    </w:p>
    <w:p w:rsidR="00C30C8B" w:rsidRDefault="001E516C">
      <w:pPr>
        <w:spacing w:after="160"/>
        <w:rPr>
          <w:rFonts w:ascii="Times New Roman" w:eastAsia="Times New Roman" w:hAnsi="Times New Roman" w:cs="Times New Roman"/>
          <w:sz w:val="24"/>
          <w:szCs w:val="24"/>
        </w:rPr>
      </w:pPr>
      <w:r w:rsidRPr="001E516C">
        <w:rPr>
          <w:rFonts w:ascii="Times New Roman" w:eastAsia="Times New Roman" w:hAnsi="Times New Roman" w:cs="Times New Roman"/>
          <w:sz w:val="24"/>
          <w:szCs w:val="24"/>
          <w:lang w:val="de-DE"/>
        </w:rPr>
        <w:t xml:space="preserve">Mirza, M. U., Richter, A., Nes, E. H., Scheffer, M. (2019). </w:t>
      </w:r>
      <w:r>
        <w:rPr>
          <w:rFonts w:ascii="Times New Roman" w:eastAsia="Times New Roman" w:hAnsi="Times New Roman" w:cs="Times New Roman"/>
          <w:sz w:val="24"/>
          <w:szCs w:val="24"/>
        </w:rPr>
        <w:t xml:space="preserve">Technology driven inequality leads to poverty and resource depletion. </w:t>
      </w:r>
      <w:r>
        <w:rPr>
          <w:rFonts w:ascii="Times New Roman" w:eastAsia="Times New Roman" w:hAnsi="Times New Roman" w:cs="Times New Roman"/>
          <w:i/>
          <w:sz w:val="24"/>
          <w:szCs w:val="24"/>
        </w:rPr>
        <w:t>Ecological Economics, 160</w:t>
      </w:r>
      <w:r>
        <w:rPr>
          <w:rFonts w:ascii="Times New Roman" w:eastAsia="Times New Roman" w:hAnsi="Times New Roman" w:cs="Times New Roman"/>
          <w:sz w:val="24"/>
          <w:szCs w:val="24"/>
        </w:rPr>
        <w:t xml:space="preserve">, 215-226. doi:10.1016/j.ecolecon.2019.02.015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Mnif, A. (2016). Bilateral Relationship between Technological Changes and Income Inequality in Developing Countries. </w:t>
      </w:r>
      <w:r>
        <w:rPr>
          <w:rFonts w:ascii="Times New Roman" w:eastAsia="Times New Roman" w:hAnsi="Times New Roman" w:cs="Times New Roman"/>
          <w:i/>
          <w:sz w:val="24"/>
          <w:szCs w:val="24"/>
        </w:rPr>
        <w:t>Atlantic Review of Economics, 1</w:t>
      </w:r>
      <w:r>
        <w:rPr>
          <w:rFonts w:ascii="Times New Roman" w:eastAsia="Times New Roman" w:hAnsi="Times New Roman" w:cs="Times New Roman"/>
          <w:sz w:val="24"/>
          <w:szCs w:val="24"/>
        </w:rPr>
        <w:t xml:space="preserve">, 1-15. Retrieved from https://ideas.repec.org/a/eac/articl/04-15.html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Mubarak, F. (2015). Towards a renewed understanding of the complex nerves of the </w:t>
      </w:r>
      <w:proofErr w:type="gramStart"/>
      <w:r>
        <w:rPr>
          <w:rFonts w:ascii="Times New Roman" w:eastAsia="Times New Roman" w:hAnsi="Times New Roman" w:cs="Times New Roman"/>
          <w:sz w:val="24"/>
          <w:szCs w:val="24"/>
        </w:rPr>
        <w:t>digital</w:t>
      </w:r>
      <w:proofErr w:type="gramEnd"/>
      <w:r>
        <w:rPr>
          <w:rFonts w:ascii="Times New Roman" w:eastAsia="Times New Roman" w:hAnsi="Times New Roman" w:cs="Times New Roman"/>
          <w:sz w:val="24"/>
          <w:szCs w:val="24"/>
        </w:rPr>
        <w:t xml:space="preserve"> divide. </w:t>
      </w:r>
      <w:r>
        <w:rPr>
          <w:rFonts w:ascii="Times New Roman" w:eastAsia="Times New Roman" w:hAnsi="Times New Roman" w:cs="Times New Roman"/>
          <w:i/>
          <w:sz w:val="24"/>
          <w:szCs w:val="24"/>
        </w:rPr>
        <w:t>Journal of Social Inclusion, 6</w:t>
      </w:r>
      <w:r>
        <w:rPr>
          <w:rFonts w:ascii="Times New Roman" w:eastAsia="Times New Roman" w:hAnsi="Times New Roman" w:cs="Times New Roman"/>
          <w:sz w:val="24"/>
          <w:szCs w:val="24"/>
        </w:rPr>
        <w:t xml:space="preserve">(1), 71-103. doi:10.36251/josi.93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Mukhopadhyay, L. (2004). Inequality, differential technology for resource extraction and voluntary collective action in commons. </w:t>
      </w:r>
      <w:r>
        <w:rPr>
          <w:rFonts w:ascii="Times New Roman" w:eastAsia="Times New Roman" w:hAnsi="Times New Roman" w:cs="Times New Roman"/>
          <w:i/>
          <w:sz w:val="24"/>
          <w:szCs w:val="24"/>
        </w:rPr>
        <w:t>Ecological Economics, 49</w:t>
      </w:r>
      <w:r>
        <w:rPr>
          <w:rFonts w:ascii="Times New Roman" w:eastAsia="Times New Roman" w:hAnsi="Times New Roman" w:cs="Times New Roman"/>
          <w:sz w:val="24"/>
          <w:szCs w:val="24"/>
        </w:rPr>
        <w:t xml:space="preserve">(2), 215-230. doi:10.1016/j.ecolecon.2004.03.020. </w:t>
      </w:r>
    </w:p>
    <w:p w:rsidR="00C30C8B" w:rsidRDefault="001E516C">
      <w:pPr>
        <w:spacing w:after="160"/>
        <w:rPr>
          <w:rFonts w:ascii="Times New Roman" w:eastAsia="Times New Roman" w:hAnsi="Times New Roman" w:cs="Times New Roman"/>
          <w:sz w:val="24"/>
          <w:szCs w:val="24"/>
        </w:rPr>
      </w:pPr>
      <w:r w:rsidRPr="002305CD">
        <w:rPr>
          <w:rFonts w:ascii="Times New Roman" w:eastAsia="Times New Roman" w:hAnsi="Times New Roman" w:cs="Times New Roman"/>
          <w:sz w:val="24"/>
          <w:szCs w:val="24"/>
          <w:lang w:val="de-DE"/>
        </w:rPr>
        <w:t xml:space="preserve">Nasrollahi, Z., Hashemi, M-S., Bameri, S., &amp; Taghvaee, V. M. (2018). </w:t>
      </w:r>
      <w:r>
        <w:rPr>
          <w:rFonts w:ascii="Times New Roman" w:eastAsia="Times New Roman" w:hAnsi="Times New Roman" w:cs="Times New Roman"/>
          <w:sz w:val="24"/>
          <w:szCs w:val="24"/>
        </w:rPr>
        <w:t xml:space="preserve">Environmental pollution, economic growth, population, industrialization, and technology in weak and strong sustainability: using STIRPAT model. </w:t>
      </w:r>
      <w:r>
        <w:rPr>
          <w:rFonts w:ascii="Times New Roman" w:eastAsia="Times New Roman" w:hAnsi="Times New Roman" w:cs="Times New Roman"/>
          <w:i/>
          <w:sz w:val="24"/>
          <w:szCs w:val="24"/>
        </w:rPr>
        <w:t>Environment, Development and Sustainability</w:t>
      </w:r>
      <w:r>
        <w:rPr>
          <w:rFonts w:ascii="Times New Roman" w:eastAsia="Times New Roman" w:hAnsi="Times New Roman" w:cs="Times New Roman"/>
          <w:sz w:val="24"/>
          <w:szCs w:val="24"/>
        </w:rPr>
        <w:t xml:space="preserve">, 1-18. </w:t>
      </w:r>
      <w:hyperlink r:id="rId34">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10.1007/s10668-018-0237-5</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Panambunan-Ferse, M., &amp; Breiter, A. (2013). Assessing the </w:t>
      </w:r>
      <w:proofErr w:type="gramStart"/>
      <w:r>
        <w:rPr>
          <w:rFonts w:ascii="Times New Roman" w:eastAsia="Times New Roman" w:hAnsi="Times New Roman" w:cs="Times New Roman"/>
          <w:sz w:val="24"/>
          <w:szCs w:val="24"/>
        </w:rPr>
        <w:t>side-effects</w:t>
      </w:r>
      <w:proofErr w:type="gramEnd"/>
      <w:r>
        <w:rPr>
          <w:rFonts w:ascii="Times New Roman" w:eastAsia="Times New Roman" w:hAnsi="Times New Roman" w:cs="Times New Roman"/>
          <w:sz w:val="24"/>
          <w:szCs w:val="24"/>
        </w:rPr>
        <w:t xml:space="preserve"> of ICT development: E-waste production and management. </w:t>
      </w:r>
      <w:r>
        <w:rPr>
          <w:rFonts w:ascii="Times New Roman" w:eastAsia="Times New Roman" w:hAnsi="Times New Roman" w:cs="Times New Roman"/>
          <w:i/>
          <w:sz w:val="24"/>
          <w:szCs w:val="24"/>
        </w:rPr>
        <w:t>Technology in Society, 35</w:t>
      </w:r>
      <w:r>
        <w:rPr>
          <w:rFonts w:ascii="Times New Roman" w:eastAsia="Times New Roman" w:hAnsi="Times New Roman" w:cs="Times New Roman"/>
          <w:sz w:val="24"/>
          <w:szCs w:val="24"/>
        </w:rPr>
        <w:t xml:space="preserve">(3), 223-231. </w:t>
      </w:r>
      <w:hyperlink r:id="rId35">
        <w:r>
          <w:rPr>
            <w:rFonts w:ascii="Times New Roman" w:eastAsia="Times New Roman" w:hAnsi="Times New Roman" w:cs="Times New Roman"/>
            <w:sz w:val="24"/>
            <w:szCs w:val="24"/>
          </w:rPr>
          <w:t>doi:10.1016/j.techsoc.2013.04.002</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Patrignani, N. &amp; Whitehouse, D. (2014). Slow Tech: a quest for good, clean and fair ICT. </w:t>
      </w:r>
      <w:r>
        <w:rPr>
          <w:rFonts w:ascii="Times New Roman" w:eastAsia="Times New Roman" w:hAnsi="Times New Roman" w:cs="Times New Roman"/>
          <w:i/>
          <w:sz w:val="24"/>
          <w:szCs w:val="24"/>
        </w:rPr>
        <w:t>Journal of Information, Communication and Ethics in Society, 12</w:t>
      </w:r>
      <w:r>
        <w:rPr>
          <w:rFonts w:ascii="Times New Roman" w:eastAsia="Times New Roman" w:hAnsi="Times New Roman" w:cs="Times New Roman"/>
          <w:sz w:val="24"/>
          <w:szCs w:val="24"/>
        </w:rPr>
        <w:t xml:space="preserve">(2), 78-92.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10.1108/JICES-11-2013-0051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Peterson, S. (2008). Greenhouse gas mitigation in developing countries through technology transfer</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 survey of empirical evidence. </w:t>
      </w:r>
      <w:r>
        <w:rPr>
          <w:rFonts w:ascii="Times New Roman" w:eastAsia="Times New Roman" w:hAnsi="Times New Roman" w:cs="Times New Roman"/>
          <w:i/>
          <w:sz w:val="24"/>
          <w:szCs w:val="24"/>
        </w:rPr>
        <w:t>Mitigation and Adaptation Strategies for Global Change, 13</w:t>
      </w:r>
      <w:r>
        <w:rPr>
          <w:rFonts w:ascii="Times New Roman" w:eastAsia="Times New Roman" w:hAnsi="Times New Roman" w:cs="Times New Roman"/>
          <w:sz w:val="24"/>
          <w:szCs w:val="24"/>
        </w:rPr>
        <w:t xml:space="preserve">(3), 283-308.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10.1007/s11027-007-9111-8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 J., &amp; Zhang, P. (2018). Skill-biased technological change and wage inequality in developing countries. </w:t>
      </w:r>
      <w:r>
        <w:rPr>
          <w:rFonts w:ascii="Times New Roman" w:eastAsia="Times New Roman" w:hAnsi="Times New Roman" w:cs="Times New Roman"/>
          <w:i/>
          <w:sz w:val="24"/>
          <w:szCs w:val="24"/>
        </w:rPr>
        <w:t>International review of economics &amp; finance, 56</w:t>
      </w:r>
      <w:r>
        <w:rPr>
          <w:rFonts w:ascii="Times New Roman" w:eastAsia="Times New Roman" w:hAnsi="Times New Roman" w:cs="Times New Roman"/>
          <w:sz w:val="24"/>
          <w:szCs w:val="24"/>
        </w:rPr>
        <w:t xml:space="preserve">, 347-362. </w:t>
      </w:r>
      <w:hyperlink r:id="rId36">
        <w:r>
          <w:rPr>
            <w:rFonts w:ascii="Times New Roman" w:eastAsia="Times New Roman" w:hAnsi="Times New Roman" w:cs="Times New Roman"/>
            <w:sz w:val="24"/>
            <w:szCs w:val="24"/>
          </w:rPr>
          <w:t>doi:10.1016/j.iref.2017.11.004</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Ponce, A. F., &amp; McClintock, C. (2014). The Explosive Combination of Inefficient Local Bureaucracies and Mining Production: Evidence from Localized Societal Protests in Peru. </w:t>
      </w:r>
      <w:r>
        <w:rPr>
          <w:rFonts w:ascii="Times New Roman" w:eastAsia="Times New Roman" w:hAnsi="Times New Roman" w:cs="Times New Roman"/>
          <w:i/>
          <w:sz w:val="24"/>
          <w:szCs w:val="24"/>
        </w:rPr>
        <w:t>Latin American Politics and Society, 56</w:t>
      </w:r>
      <w:r>
        <w:rPr>
          <w:rFonts w:ascii="Times New Roman" w:eastAsia="Times New Roman" w:hAnsi="Times New Roman" w:cs="Times New Roman"/>
          <w:sz w:val="24"/>
          <w:szCs w:val="24"/>
        </w:rPr>
        <w:t xml:space="preserve">(3), 118-140. Retrieved from </w:t>
      </w:r>
      <w:hyperlink r:id="rId37">
        <w:r>
          <w:rPr>
            <w:rFonts w:ascii="Times New Roman" w:eastAsia="Times New Roman" w:hAnsi="Times New Roman" w:cs="Times New Roman"/>
            <w:sz w:val="24"/>
            <w:szCs w:val="24"/>
          </w:rPr>
          <w:t>https://www.jstor.org/stable/43284916</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sidRPr="001E516C">
        <w:rPr>
          <w:rFonts w:ascii="Times New Roman" w:eastAsia="Times New Roman" w:hAnsi="Times New Roman" w:cs="Times New Roman"/>
          <w:sz w:val="24"/>
          <w:szCs w:val="24"/>
          <w:lang w:val="fr-FR"/>
        </w:rPr>
        <w:t xml:space="preserve">Pouri, M. J., &amp; Hilty, L. M. (2018). </w:t>
      </w:r>
      <w:r>
        <w:rPr>
          <w:rFonts w:ascii="Times New Roman" w:eastAsia="Times New Roman" w:hAnsi="Times New Roman" w:cs="Times New Roman"/>
          <w:sz w:val="24"/>
          <w:szCs w:val="24"/>
        </w:rPr>
        <w:t xml:space="preserve">Conceptualizing the Digital Sharing Economy in the Context of Sustainability. </w:t>
      </w:r>
      <w:r>
        <w:rPr>
          <w:rFonts w:ascii="Times New Roman" w:eastAsia="Times New Roman" w:hAnsi="Times New Roman" w:cs="Times New Roman"/>
          <w:i/>
          <w:sz w:val="24"/>
          <w:szCs w:val="24"/>
        </w:rPr>
        <w:t>Sustainability, 10</w:t>
      </w:r>
      <w:r>
        <w:rPr>
          <w:rFonts w:ascii="Times New Roman" w:eastAsia="Times New Roman" w:hAnsi="Times New Roman" w:cs="Times New Roman"/>
          <w:sz w:val="24"/>
          <w:szCs w:val="24"/>
        </w:rPr>
        <w:t xml:space="preserve">(12). </w:t>
      </w:r>
      <w:hyperlink r:id="rId38">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10.3390/su10124453</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Riddlesden, D., &amp; Singleton, A. D. (2014). Broadband speed equity: A new digital divide? </w:t>
      </w:r>
      <w:r>
        <w:rPr>
          <w:rFonts w:ascii="Times New Roman" w:eastAsia="Times New Roman" w:hAnsi="Times New Roman" w:cs="Times New Roman"/>
          <w:i/>
          <w:sz w:val="24"/>
          <w:szCs w:val="24"/>
        </w:rPr>
        <w:t>Applied Geography, 52</w:t>
      </w:r>
      <w:r>
        <w:rPr>
          <w:rFonts w:ascii="Times New Roman" w:eastAsia="Times New Roman" w:hAnsi="Times New Roman" w:cs="Times New Roman"/>
          <w:sz w:val="24"/>
          <w:szCs w:val="24"/>
        </w:rPr>
        <w:t xml:space="preserve">, 25-33. </w:t>
      </w:r>
      <w:hyperlink r:id="rId39">
        <w:r>
          <w:rPr>
            <w:rFonts w:ascii="Times New Roman" w:eastAsia="Times New Roman" w:hAnsi="Times New Roman" w:cs="Times New Roman"/>
            <w:sz w:val="24"/>
            <w:szCs w:val="24"/>
          </w:rPr>
          <w:t>doi:10.1016/j.apgeog.2014.04.008</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Røpke, I. (2012). The unsustainable directionality of innovation – The example of the broadband transition. </w:t>
      </w:r>
      <w:r>
        <w:rPr>
          <w:rFonts w:ascii="Times New Roman" w:eastAsia="Times New Roman" w:hAnsi="Times New Roman" w:cs="Times New Roman"/>
          <w:i/>
          <w:sz w:val="24"/>
          <w:szCs w:val="24"/>
        </w:rPr>
        <w:t>Research Policy, 41</w:t>
      </w:r>
      <w:r>
        <w:rPr>
          <w:rFonts w:ascii="Times New Roman" w:eastAsia="Times New Roman" w:hAnsi="Times New Roman" w:cs="Times New Roman"/>
          <w:sz w:val="24"/>
          <w:szCs w:val="24"/>
        </w:rPr>
        <w:t xml:space="preserve">(9), 1631-1642. </w:t>
      </w:r>
      <w:hyperlink r:id="rId40">
        <w:r>
          <w:rPr>
            <w:rFonts w:ascii="Times New Roman" w:eastAsia="Times New Roman" w:hAnsi="Times New Roman" w:cs="Times New Roman"/>
            <w:sz w:val="24"/>
            <w:szCs w:val="24"/>
          </w:rPr>
          <w:t>doi:10.1016/j.respol.2012.04.002</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bookmarkStart w:id="0" w:name="_30j0zll" w:colFirst="0" w:colLast="0"/>
      <w:bookmarkEnd w:id="0"/>
      <w:r>
        <w:rPr>
          <w:rFonts w:ascii="Times New Roman" w:eastAsia="Times New Roman" w:hAnsi="Times New Roman" w:cs="Times New Roman"/>
          <w:sz w:val="24"/>
          <w:szCs w:val="24"/>
        </w:rPr>
        <w:t xml:space="preserve">Serrano-Cinca, C., Muñoz‐Soro, J. F., &amp; Brusca, I. (2018). A Multivariate Study of Internet Use and the Digital Divide. </w:t>
      </w:r>
      <w:r>
        <w:rPr>
          <w:rFonts w:ascii="Times New Roman" w:eastAsia="Times New Roman" w:hAnsi="Times New Roman" w:cs="Times New Roman"/>
          <w:i/>
          <w:sz w:val="24"/>
          <w:szCs w:val="24"/>
        </w:rPr>
        <w:t>Social Science Quarterly, 99</w:t>
      </w:r>
      <w:r>
        <w:rPr>
          <w:rFonts w:ascii="Times New Roman" w:eastAsia="Times New Roman" w:hAnsi="Times New Roman" w:cs="Times New Roman"/>
          <w:sz w:val="24"/>
          <w:szCs w:val="24"/>
        </w:rPr>
        <w:t xml:space="preserve">(4), 1409-1425. </w:t>
      </w:r>
      <w:hyperlink r:id="rId41">
        <w:r>
          <w:rPr>
            <w:rFonts w:ascii="Times New Roman" w:eastAsia="Times New Roman" w:hAnsi="Times New Roman" w:cs="Times New Roman"/>
            <w:sz w:val="24"/>
            <w:szCs w:val="24"/>
          </w:rPr>
          <w:t>doi:10.1111/ssqu.12504</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Sganzeria, C., Seixas, C., &amp; Conti, A. (2016). Disruptive Innovation in Digital Mining. </w:t>
      </w:r>
      <w:r>
        <w:rPr>
          <w:rFonts w:ascii="Times New Roman" w:eastAsia="Times New Roman" w:hAnsi="Times New Roman" w:cs="Times New Roman"/>
          <w:i/>
          <w:sz w:val="24"/>
          <w:szCs w:val="24"/>
        </w:rPr>
        <w:t>Procedia Engineering, 138</w:t>
      </w:r>
      <w:r>
        <w:rPr>
          <w:rFonts w:ascii="Times New Roman" w:eastAsia="Times New Roman" w:hAnsi="Times New Roman" w:cs="Times New Roman"/>
          <w:sz w:val="24"/>
          <w:szCs w:val="24"/>
        </w:rPr>
        <w:t xml:space="preserve">, 64-71. </w:t>
      </w:r>
      <w:hyperlink r:id="rId42">
        <w:r>
          <w:rPr>
            <w:rFonts w:ascii="Times New Roman" w:eastAsia="Times New Roman" w:hAnsi="Times New Roman" w:cs="Times New Roman"/>
            <w:sz w:val="24"/>
            <w:szCs w:val="24"/>
          </w:rPr>
          <w:t>doi:10.1016/j.proeng.2016.02.057</w:t>
        </w:r>
      </w:hyperlink>
      <w:r>
        <w:rPr>
          <w:rFonts w:ascii="Times New Roman" w:eastAsia="Times New Roman" w:hAnsi="Times New Roman" w:cs="Times New Roman"/>
          <w:sz w:val="24"/>
          <w:szCs w:val="24"/>
        </w:rPr>
        <w:t xml:space="preserve"> </w:t>
      </w:r>
    </w:p>
    <w:p w:rsidR="00C30C8B" w:rsidRPr="001E516C" w:rsidRDefault="001E516C">
      <w:pPr>
        <w:spacing w:after="160"/>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rPr>
        <w:t xml:space="preserve">Staab, P. (2017). The consumption dilemma of digital capitalism. </w:t>
      </w:r>
      <w:r w:rsidRPr="001E516C">
        <w:rPr>
          <w:rFonts w:ascii="Times New Roman" w:eastAsia="Times New Roman" w:hAnsi="Times New Roman" w:cs="Times New Roman"/>
          <w:i/>
          <w:sz w:val="24"/>
          <w:szCs w:val="24"/>
          <w:lang w:val="de-DE"/>
        </w:rPr>
        <w:t>Transfer, 23</w:t>
      </w:r>
      <w:r w:rsidRPr="001E516C">
        <w:rPr>
          <w:rFonts w:ascii="Times New Roman" w:eastAsia="Times New Roman" w:hAnsi="Times New Roman" w:cs="Times New Roman"/>
          <w:sz w:val="24"/>
          <w:szCs w:val="24"/>
          <w:lang w:val="de-DE"/>
        </w:rPr>
        <w:t xml:space="preserve">(3), 281-294. </w:t>
      </w:r>
      <w:hyperlink r:id="rId43">
        <w:r w:rsidRPr="001E516C">
          <w:rPr>
            <w:rFonts w:ascii="Times New Roman" w:eastAsia="Times New Roman" w:hAnsi="Times New Roman" w:cs="Times New Roman"/>
            <w:sz w:val="24"/>
            <w:szCs w:val="24"/>
            <w:lang w:val="de-DE"/>
          </w:rPr>
          <w:t>doi:10.1177/1024258917702830</w:t>
        </w:r>
      </w:hyperlink>
      <w:r w:rsidRPr="001E516C">
        <w:rPr>
          <w:rFonts w:ascii="Times New Roman" w:eastAsia="Times New Roman" w:hAnsi="Times New Roman" w:cs="Times New Roman"/>
          <w:sz w:val="24"/>
          <w:szCs w:val="24"/>
          <w:lang w:val="de-DE"/>
        </w:rPr>
        <w:t xml:space="preserve"> </w:t>
      </w:r>
    </w:p>
    <w:p w:rsidR="00C30C8B" w:rsidRDefault="001E516C">
      <w:pPr>
        <w:spacing w:after="160"/>
        <w:rPr>
          <w:rFonts w:ascii="Times New Roman" w:eastAsia="Times New Roman" w:hAnsi="Times New Roman" w:cs="Times New Roman"/>
          <w:sz w:val="24"/>
          <w:szCs w:val="24"/>
        </w:rPr>
      </w:pPr>
      <w:r w:rsidRPr="001E516C">
        <w:rPr>
          <w:rFonts w:ascii="Times New Roman" w:eastAsia="Times New Roman" w:hAnsi="Times New Roman" w:cs="Times New Roman"/>
          <w:sz w:val="24"/>
          <w:szCs w:val="24"/>
          <w:lang w:val="de-DE"/>
        </w:rPr>
        <w:lastRenderedPageBreak/>
        <w:t xml:space="preserve">Steffen, W., Grinevald, J., Crutzen, P., McNeill, J. (2011). </w:t>
      </w:r>
      <w:r>
        <w:rPr>
          <w:rFonts w:ascii="Times New Roman" w:eastAsia="Times New Roman" w:hAnsi="Times New Roman" w:cs="Times New Roman"/>
          <w:sz w:val="24"/>
          <w:szCs w:val="24"/>
        </w:rPr>
        <w:t xml:space="preserve">The Anthropocene: conceptual and historical perspectives. </w:t>
      </w:r>
      <w:r>
        <w:rPr>
          <w:rFonts w:ascii="Times New Roman" w:eastAsia="Times New Roman" w:hAnsi="Times New Roman" w:cs="Times New Roman"/>
          <w:i/>
          <w:sz w:val="24"/>
          <w:szCs w:val="24"/>
        </w:rPr>
        <w:t>Philosophical Transactions of the Royal Society, 369</w:t>
      </w:r>
      <w:r>
        <w:rPr>
          <w:rFonts w:ascii="Times New Roman" w:eastAsia="Times New Roman" w:hAnsi="Times New Roman" w:cs="Times New Roman"/>
          <w:sz w:val="24"/>
          <w:szCs w:val="24"/>
        </w:rPr>
        <w:t xml:space="preserve">(1938), 842-867.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 10.1098/rsta.2010.0327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Tob-Ogu, A., Kumar, N., &amp; Cullen, J. (2018). ICT adoption in road freight transport in Nigeria – A case study of the petroleum downstream sector. </w:t>
      </w:r>
      <w:r>
        <w:rPr>
          <w:rFonts w:ascii="Times New Roman" w:eastAsia="Times New Roman" w:hAnsi="Times New Roman" w:cs="Times New Roman"/>
          <w:i/>
          <w:sz w:val="24"/>
          <w:szCs w:val="24"/>
        </w:rPr>
        <w:t>Technological forecasting &amp; social change, 313</w:t>
      </w:r>
      <w:r>
        <w:rPr>
          <w:rFonts w:ascii="Times New Roman" w:eastAsia="Times New Roman" w:hAnsi="Times New Roman" w:cs="Times New Roman"/>
          <w:sz w:val="24"/>
          <w:szCs w:val="24"/>
        </w:rPr>
        <w:t xml:space="preserve">, 240-252. </w:t>
      </w:r>
      <w:hyperlink r:id="rId44">
        <w:r>
          <w:rPr>
            <w:rFonts w:ascii="Times New Roman" w:eastAsia="Times New Roman" w:hAnsi="Times New Roman" w:cs="Times New Roman"/>
            <w:sz w:val="24"/>
            <w:szCs w:val="24"/>
          </w:rPr>
          <w:t>doi:10.1016/j.techfore.2017.09.021</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Tomory, L. (2016). Technology in the British Industrial Revolution. </w:t>
      </w:r>
      <w:r>
        <w:rPr>
          <w:rFonts w:ascii="Times New Roman" w:eastAsia="Times New Roman" w:hAnsi="Times New Roman" w:cs="Times New Roman"/>
          <w:i/>
          <w:sz w:val="24"/>
          <w:szCs w:val="24"/>
        </w:rPr>
        <w:t>History Compass, 14</w:t>
      </w:r>
      <w:r>
        <w:rPr>
          <w:rFonts w:ascii="Times New Roman" w:eastAsia="Times New Roman" w:hAnsi="Times New Roman" w:cs="Times New Roman"/>
          <w:sz w:val="24"/>
          <w:szCs w:val="24"/>
        </w:rPr>
        <w:t xml:space="preserve">(4), 365-384.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w:t>
      </w:r>
      <w:hyperlink r:id="rId45">
        <w:r>
          <w:rPr>
            <w:rFonts w:ascii="Times New Roman" w:eastAsia="Times New Roman" w:hAnsi="Times New Roman" w:cs="Times New Roman"/>
            <w:sz w:val="24"/>
            <w:szCs w:val="24"/>
          </w:rPr>
          <w:t>10.1111/hic3.12306</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Uddin, M., &amp; Rahman, A. A. (2010). Server consolidation: an approach to make data centers energy efficient &amp; green. </w:t>
      </w:r>
      <w:r>
        <w:rPr>
          <w:rFonts w:ascii="Times New Roman" w:eastAsia="Times New Roman" w:hAnsi="Times New Roman" w:cs="Times New Roman"/>
          <w:i/>
          <w:sz w:val="24"/>
          <w:szCs w:val="24"/>
        </w:rPr>
        <w:t>International Journal of Scientific &amp; Engineering Research, 1</w:t>
      </w:r>
      <w:r>
        <w:rPr>
          <w:rFonts w:ascii="Times New Roman" w:eastAsia="Times New Roman" w:hAnsi="Times New Roman" w:cs="Times New Roman"/>
          <w:sz w:val="24"/>
          <w:szCs w:val="24"/>
        </w:rPr>
        <w:t xml:space="preserve">(1), 1-7. doi:10.14299/ijser.2010.01.002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UNDP (2019). Goal 10: Reduced Inequalities. Retrieved from </w:t>
      </w:r>
      <w:hyperlink r:id="rId46">
        <w:r>
          <w:rPr>
            <w:rFonts w:ascii="Times New Roman" w:eastAsia="Times New Roman" w:hAnsi="Times New Roman" w:cs="Times New Roman"/>
            <w:sz w:val="24"/>
            <w:szCs w:val="24"/>
          </w:rPr>
          <w:t>https://www.undp.org/content/undp/en/home/sustainable-development-goals/goal-10-reduced-inequalities.html</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(2019). Methodology: Standard country or area codes for statistical use (M49). Retrieved from </w:t>
      </w:r>
      <w:hyperlink r:id="rId47">
        <w:r>
          <w:rPr>
            <w:rFonts w:ascii="Times New Roman" w:eastAsia="Times New Roman" w:hAnsi="Times New Roman" w:cs="Times New Roman"/>
            <w:sz w:val="24"/>
            <w:szCs w:val="24"/>
          </w:rPr>
          <w:t>https://unstats.un.org/unsd/methodology/m49/</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Dijk, J. (2006). </w:t>
      </w:r>
      <w:r>
        <w:rPr>
          <w:rFonts w:ascii="Times New Roman" w:eastAsia="Times New Roman" w:hAnsi="Times New Roman" w:cs="Times New Roman"/>
          <w:i/>
          <w:sz w:val="24"/>
          <w:szCs w:val="24"/>
        </w:rPr>
        <w:t>The Network Society. Social Aspects of New Media</w:t>
      </w:r>
      <w:r>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London: SAGE.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Van Dijk, J. A. (2012). The Evolution of the Digital Divide—</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Digital Divide Turns to Inequality of Skills and Usage. In J. Bus, M. Crompton, M Hildebrandt &amp; G. Metakides (Eds.). </w:t>
      </w:r>
      <w:r>
        <w:rPr>
          <w:rFonts w:ascii="Times New Roman" w:eastAsia="Times New Roman" w:hAnsi="Times New Roman" w:cs="Times New Roman"/>
          <w:i/>
          <w:sz w:val="24"/>
          <w:szCs w:val="24"/>
        </w:rPr>
        <w:t>Digital Enlightenment Yearbook 2012</w:t>
      </w:r>
      <w:r>
        <w:rPr>
          <w:rFonts w:ascii="Times New Roman" w:eastAsia="Times New Roman" w:hAnsi="Times New Roman" w:cs="Times New Roman"/>
          <w:sz w:val="24"/>
          <w:szCs w:val="24"/>
        </w:rPr>
        <w:t xml:space="preserve"> (pp. 57-78). Amsterdam: IOS Press.</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Reenen, J. V. (2011). Wage Inequality, Technology and Trade: 21st Century Evidence. </w:t>
      </w:r>
      <w:r>
        <w:rPr>
          <w:rFonts w:ascii="Times New Roman" w:eastAsia="Times New Roman" w:hAnsi="Times New Roman" w:cs="Times New Roman"/>
          <w:i/>
          <w:sz w:val="24"/>
          <w:szCs w:val="24"/>
        </w:rPr>
        <w:t>Labour Economics, 18</w:t>
      </w:r>
      <w:r>
        <w:rPr>
          <w:rFonts w:ascii="Times New Roman" w:eastAsia="Times New Roman" w:hAnsi="Times New Roman" w:cs="Times New Roman"/>
          <w:sz w:val="24"/>
          <w:szCs w:val="24"/>
        </w:rPr>
        <w:t xml:space="preserve">(6), 730-741. </w:t>
      </w:r>
      <w:hyperlink r:id="rId48">
        <w:r>
          <w:rPr>
            <w:rFonts w:ascii="Times New Roman" w:eastAsia="Times New Roman" w:hAnsi="Times New Roman" w:cs="Times New Roman"/>
            <w:sz w:val="24"/>
            <w:szCs w:val="24"/>
          </w:rPr>
          <w:t>doi:10.1016/j.labeco.2011.05.006</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Vona, F., &amp; Patriarca, F. (2011). Income inequality and the development of environmental technologies. </w:t>
      </w:r>
      <w:r>
        <w:rPr>
          <w:rFonts w:ascii="Times New Roman" w:eastAsia="Times New Roman" w:hAnsi="Times New Roman" w:cs="Times New Roman"/>
          <w:i/>
          <w:sz w:val="24"/>
          <w:szCs w:val="24"/>
        </w:rPr>
        <w:t>Ecological Economics, 70</w:t>
      </w:r>
      <w:r>
        <w:rPr>
          <w:rFonts w:ascii="Times New Roman" w:eastAsia="Times New Roman" w:hAnsi="Times New Roman" w:cs="Times New Roman"/>
          <w:sz w:val="24"/>
          <w:szCs w:val="24"/>
        </w:rPr>
        <w:t xml:space="preserve">(11), 2201-2213. </w:t>
      </w:r>
      <w:hyperlink r:id="rId49">
        <w:r>
          <w:rPr>
            <w:rFonts w:ascii="Times New Roman" w:eastAsia="Times New Roman" w:hAnsi="Times New Roman" w:cs="Times New Roman"/>
            <w:sz w:val="24"/>
            <w:szCs w:val="24"/>
          </w:rPr>
          <w:t>doi:10.1016/j.ecolecon.2011.06.027</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sidRPr="002305CD">
        <w:rPr>
          <w:rFonts w:ascii="Times New Roman" w:eastAsia="Times New Roman" w:hAnsi="Times New Roman" w:cs="Times New Roman"/>
          <w:sz w:val="24"/>
          <w:szCs w:val="24"/>
          <w:lang w:val="de-DE"/>
        </w:rPr>
        <w:t xml:space="preserve">Wang, Z., Zhang, B., &amp; Guan, D. (2016). </w:t>
      </w:r>
      <w:r>
        <w:rPr>
          <w:rFonts w:ascii="Times New Roman" w:eastAsia="Times New Roman" w:hAnsi="Times New Roman" w:cs="Times New Roman"/>
          <w:sz w:val="24"/>
          <w:szCs w:val="24"/>
        </w:rPr>
        <w:t xml:space="preserve">Take responsibility for electronic-waste disposal: international cooperation </w:t>
      </w:r>
      <w:proofErr w:type="gramStart"/>
      <w:r>
        <w:rPr>
          <w:rFonts w:ascii="Times New Roman" w:eastAsia="Times New Roman" w:hAnsi="Times New Roman" w:cs="Times New Roman"/>
          <w:sz w:val="24"/>
          <w:szCs w:val="24"/>
        </w:rPr>
        <w:t>is needed</w:t>
      </w:r>
      <w:proofErr w:type="gramEnd"/>
      <w:r>
        <w:rPr>
          <w:rFonts w:ascii="Times New Roman" w:eastAsia="Times New Roman" w:hAnsi="Times New Roman" w:cs="Times New Roman"/>
          <w:sz w:val="24"/>
          <w:szCs w:val="24"/>
        </w:rPr>
        <w:t xml:space="preserve"> to stop developed nations simply offloading defunct electronics on developing countries. </w:t>
      </w:r>
      <w:r>
        <w:rPr>
          <w:rFonts w:ascii="Times New Roman" w:eastAsia="Times New Roman" w:hAnsi="Times New Roman" w:cs="Times New Roman"/>
          <w:i/>
          <w:sz w:val="24"/>
          <w:szCs w:val="24"/>
        </w:rPr>
        <w:t>Nature, 536</w:t>
      </w:r>
      <w:r>
        <w:rPr>
          <w:rFonts w:ascii="Times New Roman" w:eastAsia="Times New Roman" w:hAnsi="Times New Roman" w:cs="Times New Roman"/>
          <w:sz w:val="24"/>
          <w:szCs w:val="24"/>
        </w:rPr>
        <w:t xml:space="preserve">(7614), 23-25.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xml:space="preserve">10.1038/536023a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Wilkinson, R., &amp; Pickett, K. (2010). </w:t>
      </w:r>
      <w:r>
        <w:rPr>
          <w:rFonts w:ascii="Times New Roman" w:eastAsia="Times New Roman" w:hAnsi="Times New Roman" w:cs="Times New Roman"/>
          <w:i/>
          <w:sz w:val="24"/>
          <w:szCs w:val="24"/>
        </w:rPr>
        <w:t>The Spirit Level: Why Equality is Better for Everyone</w:t>
      </w:r>
      <w:r>
        <w:rPr>
          <w:rFonts w:ascii="Times New Roman" w:eastAsia="Times New Roman" w:hAnsi="Times New Roman" w:cs="Times New Roman"/>
          <w:sz w:val="24"/>
          <w:szCs w:val="24"/>
        </w:rPr>
        <w:t xml:space="preserve">. London: Penguin Books.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Wisman, J. D. (2011). Inequality, social respectability, political power, and environmental devastation. </w:t>
      </w:r>
      <w:r>
        <w:rPr>
          <w:rFonts w:ascii="Times New Roman" w:eastAsia="Times New Roman" w:hAnsi="Times New Roman" w:cs="Times New Roman"/>
          <w:i/>
          <w:sz w:val="24"/>
          <w:szCs w:val="24"/>
        </w:rPr>
        <w:t>Journal of Economic Issues, 45</w:t>
      </w:r>
      <w:r>
        <w:rPr>
          <w:rFonts w:ascii="Times New Roman" w:eastAsia="Times New Roman" w:hAnsi="Times New Roman" w:cs="Times New Roman"/>
          <w:sz w:val="24"/>
          <w:szCs w:val="24"/>
        </w:rPr>
        <w:t xml:space="preserve">(4), 877–900. </w:t>
      </w:r>
      <w:hyperlink r:id="rId50">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10.2753/JEI0021-3624450407</w:t>
        </w:r>
      </w:hyperlink>
    </w:p>
    <w:p w:rsidR="00C30C8B" w:rsidRDefault="001E516C">
      <w:pPr>
        <w:spacing w:after="160"/>
        <w:rPr>
          <w:rFonts w:ascii="Times New Roman" w:eastAsia="Times New Roman" w:hAnsi="Times New Roman" w:cs="Times New Roman"/>
          <w:sz w:val="24"/>
          <w:szCs w:val="24"/>
        </w:rPr>
      </w:pPr>
      <w:bookmarkStart w:id="1" w:name="_1fob9te" w:colFirst="0" w:colLast="0"/>
      <w:bookmarkEnd w:id="1"/>
      <w:r>
        <w:rPr>
          <w:rFonts w:ascii="Times New Roman" w:eastAsia="Times New Roman" w:hAnsi="Times New Roman" w:cs="Times New Roman"/>
          <w:sz w:val="24"/>
          <w:szCs w:val="24"/>
        </w:rPr>
        <w:lastRenderedPageBreak/>
        <w:t xml:space="preserve">Yu, B., Ndumu, A., Mon, L. M., &amp; Fan, Z. (2018). E-inclusion or digital divide: an integrated model of digital inequality. </w:t>
      </w:r>
      <w:r>
        <w:rPr>
          <w:rFonts w:ascii="Times New Roman" w:eastAsia="Times New Roman" w:hAnsi="Times New Roman" w:cs="Times New Roman"/>
          <w:i/>
          <w:sz w:val="24"/>
          <w:szCs w:val="24"/>
        </w:rPr>
        <w:t>Journal of Documentation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74</w:t>
      </w:r>
      <w:r>
        <w:rPr>
          <w:rFonts w:ascii="Times New Roman" w:eastAsia="Times New Roman" w:hAnsi="Times New Roman" w:cs="Times New Roman"/>
          <w:sz w:val="24"/>
          <w:szCs w:val="24"/>
        </w:rPr>
        <w:t xml:space="preserve">(3), 552-574. Retrieved from </w:t>
      </w:r>
      <w:hyperlink r:id="rId51">
        <w:r>
          <w:rPr>
            <w:rFonts w:ascii="Times New Roman" w:eastAsia="Times New Roman" w:hAnsi="Times New Roman" w:cs="Times New Roman"/>
            <w:sz w:val="24"/>
            <w:szCs w:val="24"/>
          </w:rPr>
          <w:t>https://www.emerald.com/insight/content/doi/10.1108/JD-10-2017-0148/full/html</w:t>
        </w:r>
      </w:hyperlink>
      <w:r>
        <w:rPr>
          <w:rFonts w:ascii="Times New Roman" w:eastAsia="Times New Roman" w:hAnsi="Times New Roman" w:cs="Times New Roman"/>
          <w:sz w:val="24"/>
          <w:szCs w:val="24"/>
        </w:rPr>
        <w:t xml:space="preserve"> </w:t>
      </w: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Zeira, J. (2007). Wage Inequality, Technology, and Trade. </w:t>
      </w:r>
      <w:r>
        <w:rPr>
          <w:rFonts w:ascii="Times New Roman" w:eastAsia="Times New Roman" w:hAnsi="Times New Roman" w:cs="Times New Roman"/>
          <w:i/>
          <w:sz w:val="24"/>
          <w:szCs w:val="24"/>
        </w:rPr>
        <w:t>Journal of Economic Theory, 137</w:t>
      </w:r>
      <w:r>
        <w:rPr>
          <w:rFonts w:ascii="Times New Roman" w:eastAsia="Times New Roman" w:hAnsi="Times New Roman" w:cs="Times New Roman"/>
          <w:sz w:val="24"/>
          <w:szCs w:val="24"/>
        </w:rPr>
        <w:t xml:space="preserve">(1), 79-103. </w:t>
      </w:r>
      <w:hyperlink r:id="rId52">
        <w:r>
          <w:rPr>
            <w:rFonts w:ascii="Times New Roman" w:eastAsia="Times New Roman" w:hAnsi="Times New Roman" w:cs="Times New Roman"/>
            <w:sz w:val="24"/>
            <w:szCs w:val="24"/>
          </w:rPr>
          <w:t>doi:10.1016/j.jet.2006.03.011</w:t>
        </w:r>
      </w:hyperlink>
      <w:r>
        <w:rPr>
          <w:rFonts w:ascii="Times New Roman" w:eastAsia="Times New Roman" w:hAnsi="Times New Roman" w:cs="Times New Roman"/>
          <w:sz w:val="24"/>
          <w:szCs w:val="24"/>
        </w:rPr>
        <w:t xml:space="preserve"> </w:t>
      </w:r>
    </w:p>
    <w:p w:rsidR="00EF2EA7" w:rsidRDefault="00EF2EA7">
      <w:pPr>
        <w:spacing w:after="160"/>
        <w:rPr>
          <w:rFonts w:ascii="Times New Roman" w:eastAsia="Times New Roman" w:hAnsi="Times New Roman" w:cs="Times New Roman"/>
          <w:b/>
          <w:sz w:val="24"/>
          <w:szCs w:val="24"/>
        </w:rPr>
      </w:pPr>
    </w:p>
    <w:p w:rsidR="00C30C8B" w:rsidRDefault="001E516C">
      <w:pPr>
        <w:spacing w:after="160"/>
        <w:rPr>
          <w:rFonts w:ascii="Times New Roman" w:eastAsia="Times New Roman" w:hAnsi="Times New Roman" w:cs="Times New Roman"/>
          <w:sz w:val="24"/>
          <w:szCs w:val="24"/>
        </w:rPr>
      </w:pPr>
      <w:r>
        <w:rPr>
          <w:rFonts w:ascii="Times New Roman" w:eastAsia="Times New Roman" w:hAnsi="Times New Roman" w:cs="Times New Roman"/>
          <w:b/>
          <w:sz w:val="24"/>
          <w:szCs w:val="24"/>
        </w:rPr>
        <w:t>Ian Granit</w:t>
      </w:r>
      <w:r>
        <w:rPr>
          <w:rFonts w:ascii="Times New Roman" w:eastAsia="Times New Roman" w:hAnsi="Times New Roman" w:cs="Times New Roman"/>
          <w:sz w:val="24"/>
          <w:szCs w:val="24"/>
        </w:rPr>
        <w:t xml:space="preserve"> was born and raised in Sweden and is currently studying as an international student at Griffith University, Australia. Ian is majoring in environmental sustainability and social justice with a focus on interdisciplinary research. His main research interests cover </w:t>
      </w:r>
      <w:proofErr w:type="gramStart"/>
      <w:r>
        <w:rPr>
          <w:rFonts w:ascii="Times New Roman" w:eastAsia="Times New Roman" w:hAnsi="Times New Roman" w:cs="Times New Roman"/>
          <w:sz w:val="24"/>
          <w:szCs w:val="24"/>
        </w:rPr>
        <w:t>international development, policy-making, environmental governance, and how climate change affects different societies</w:t>
      </w:r>
      <w:proofErr w:type="gramEnd"/>
      <w:r>
        <w:rPr>
          <w:rFonts w:ascii="Times New Roman" w:eastAsia="Times New Roman" w:hAnsi="Times New Roman" w:cs="Times New Roman"/>
          <w:sz w:val="24"/>
          <w:szCs w:val="24"/>
        </w:rPr>
        <w:t>.</w:t>
      </w:r>
    </w:p>
    <w:p w:rsidR="00C30C8B" w:rsidRDefault="00C30C8B">
      <w:pPr>
        <w:spacing w:after="160" w:line="480" w:lineRule="auto"/>
        <w:rPr>
          <w:rFonts w:ascii="Times New Roman" w:eastAsia="Times New Roman" w:hAnsi="Times New Roman" w:cs="Times New Roman"/>
          <w:b/>
          <w:sz w:val="24"/>
          <w:szCs w:val="24"/>
        </w:rPr>
      </w:pPr>
    </w:p>
    <w:p w:rsidR="00C30C8B" w:rsidRDefault="00C30C8B">
      <w:pPr>
        <w:spacing w:after="160" w:line="480" w:lineRule="auto"/>
        <w:rPr>
          <w:rFonts w:ascii="Times New Roman" w:eastAsia="Times New Roman" w:hAnsi="Times New Roman" w:cs="Times New Roman"/>
          <w:b/>
          <w:sz w:val="24"/>
          <w:szCs w:val="24"/>
        </w:rPr>
      </w:pPr>
    </w:p>
    <w:p w:rsidR="00C30C8B" w:rsidRDefault="00C30C8B">
      <w:pPr>
        <w:spacing w:after="160" w:line="480" w:lineRule="auto"/>
        <w:rPr>
          <w:rFonts w:ascii="Times New Roman" w:eastAsia="Times New Roman" w:hAnsi="Times New Roman" w:cs="Times New Roman"/>
          <w:b/>
          <w:sz w:val="24"/>
          <w:szCs w:val="24"/>
        </w:rPr>
      </w:pPr>
    </w:p>
    <w:p w:rsidR="00C30C8B" w:rsidRDefault="00C30C8B">
      <w:pPr>
        <w:spacing w:after="160" w:line="480" w:lineRule="auto"/>
        <w:rPr>
          <w:rFonts w:ascii="Times New Roman" w:eastAsia="Times New Roman" w:hAnsi="Times New Roman" w:cs="Times New Roman"/>
          <w:b/>
          <w:sz w:val="24"/>
          <w:szCs w:val="24"/>
        </w:rPr>
      </w:pPr>
    </w:p>
    <w:p w:rsidR="00C30C8B" w:rsidRDefault="00C30C8B">
      <w:pPr>
        <w:spacing w:after="160" w:line="480" w:lineRule="auto"/>
        <w:rPr>
          <w:rFonts w:ascii="Times New Roman" w:eastAsia="Times New Roman" w:hAnsi="Times New Roman" w:cs="Times New Roman"/>
          <w:b/>
          <w:sz w:val="24"/>
          <w:szCs w:val="24"/>
        </w:rPr>
      </w:pPr>
    </w:p>
    <w:p w:rsidR="001E516C" w:rsidRDefault="001E516C">
      <w:pPr>
        <w:spacing w:after="160" w:line="480" w:lineRule="auto"/>
        <w:rPr>
          <w:rFonts w:ascii="Times New Roman" w:eastAsia="Times New Roman" w:hAnsi="Times New Roman" w:cs="Times New Roman"/>
          <w:b/>
          <w:sz w:val="24"/>
          <w:szCs w:val="24"/>
        </w:rPr>
      </w:pPr>
    </w:p>
    <w:p w:rsidR="001E516C" w:rsidRDefault="001E516C">
      <w:pPr>
        <w:spacing w:after="160" w:line="480" w:lineRule="auto"/>
        <w:rPr>
          <w:rFonts w:ascii="Times New Roman" w:eastAsia="Times New Roman" w:hAnsi="Times New Roman" w:cs="Times New Roman"/>
          <w:b/>
          <w:sz w:val="24"/>
          <w:szCs w:val="24"/>
        </w:rPr>
      </w:pPr>
    </w:p>
    <w:p w:rsidR="001E516C" w:rsidRDefault="001E516C">
      <w:pPr>
        <w:spacing w:after="160" w:line="480" w:lineRule="auto"/>
        <w:rPr>
          <w:rFonts w:ascii="Times New Roman" w:eastAsia="Times New Roman" w:hAnsi="Times New Roman" w:cs="Times New Roman"/>
          <w:b/>
          <w:sz w:val="24"/>
          <w:szCs w:val="24"/>
        </w:rPr>
      </w:pPr>
    </w:p>
    <w:p w:rsidR="001E516C" w:rsidRDefault="001E516C">
      <w:pPr>
        <w:spacing w:after="160" w:line="480" w:lineRule="auto"/>
        <w:rPr>
          <w:rFonts w:ascii="Times New Roman" w:eastAsia="Times New Roman" w:hAnsi="Times New Roman" w:cs="Times New Roman"/>
          <w:b/>
          <w:sz w:val="24"/>
          <w:szCs w:val="24"/>
        </w:rPr>
      </w:pPr>
    </w:p>
    <w:p w:rsidR="001E516C" w:rsidRDefault="001E516C">
      <w:pPr>
        <w:spacing w:after="160" w:line="480" w:lineRule="auto"/>
        <w:rPr>
          <w:rFonts w:ascii="Times New Roman" w:eastAsia="Times New Roman" w:hAnsi="Times New Roman" w:cs="Times New Roman"/>
          <w:b/>
          <w:sz w:val="24"/>
          <w:szCs w:val="24"/>
        </w:rPr>
      </w:pPr>
    </w:p>
    <w:p w:rsidR="001E516C" w:rsidRDefault="001E516C">
      <w:pPr>
        <w:spacing w:after="160" w:line="480" w:lineRule="auto"/>
        <w:rPr>
          <w:rFonts w:ascii="Times New Roman" w:eastAsia="Times New Roman" w:hAnsi="Times New Roman" w:cs="Times New Roman"/>
          <w:b/>
          <w:sz w:val="24"/>
          <w:szCs w:val="24"/>
        </w:rPr>
      </w:pPr>
    </w:p>
    <w:p w:rsidR="00C30C8B" w:rsidRDefault="00C30C8B">
      <w:pPr>
        <w:spacing w:after="160"/>
        <w:rPr>
          <w:rFonts w:ascii="Times New Roman" w:eastAsia="Times New Roman" w:hAnsi="Times New Roman" w:cs="Times New Roman"/>
          <w:b/>
          <w:sz w:val="24"/>
          <w:szCs w:val="24"/>
        </w:rPr>
      </w:pPr>
    </w:p>
    <w:p w:rsidR="00C30C8B" w:rsidRDefault="00C30C8B">
      <w:pPr>
        <w:spacing w:after="160"/>
        <w:rPr>
          <w:rFonts w:ascii="Times New Roman" w:eastAsia="Times New Roman" w:hAnsi="Times New Roman" w:cs="Times New Roman"/>
          <w:b/>
          <w:sz w:val="24"/>
          <w:szCs w:val="24"/>
        </w:rPr>
      </w:pPr>
    </w:p>
    <w:p w:rsidR="00C30C8B" w:rsidRDefault="001E516C">
      <w:pPr>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Cybersecurity and Critical Infrastructure: An Analysis Using Securitization Theory</w:t>
      </w:r>
    </w:p>
    <w:p w:rsidR="00C30C8B" w:rsidRDefault="00C30C8B">
      <w:pPr>
        <w:spacing w:after="160"/>
        <w:rPr>
          <w:rFonts w:ascii="Times New Roman" w:eastAsia="Times New Roman" w:hAnsi="Times New Roman" w:cs="Times New Roman"/>
          <w:b/>
          <w:sz w:val="24"/>
          <w:szCs w:val="24"/>
        </w:rPr>
      </w:pPr>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t>Noah T Archibald, Acadia University, Wolfville, Nova Scotia, Canada</w:t>
      </w:r>
    </w:p>
    <w:p w:rsidR="00C30C8B" w:rsidRDefault="00C30C8B">
      <w:pPr>
        <w:shd w:val="clear" w:color="auto" w:fill="FFFFFF"/>
        <w:spacing w:before="120"/>
        <w:rPr>
          <w:rFonts w:ascii="Times New Roman" w:eastAsia="Times New Roman" w:hAnsi="Times New Roman" w:cs="Times New Roman"/>
          <w:b/>
          <w:sz w:val="24"/>
          <w:szCs w:val="24"/>
        </w:rPr>
      </w:pPr>
    </w:p>
    <w:p w:rsidR="00C30C8B" w:rsidRDefault="00C30C8B">
      <w:pPr>
        <w:shd w:val="clear" w:color="auto" w:fill="FFFFFF"/>
        <w:spacing w:before="120"/>
        <w:rPr>
          <w:rFonts w:ascii="Times New Roman" w:eastAsia="Times New Roman" w:hAnsi="Times New Roman" w:cs="Times New Roman"/>
          <w:b/>
          <w:sz w:val="24"/>
          <w:szCs w:val="24"/>
        </w:rPr>
      </w:pPr>
    </w:p>
    <w:p w:rsidR="00C30C8B" w:rsidRDefault="001E516C">
      <w:pPr>
        <w:shd w:val="clear" w:color="auto" w:fill="FFFFFF"/>
        <w:spacing w:before="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C30C8B" w:rsidRDefault="001E516C">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will analyze current insecurities in Canada’s critical infrastructure and the ways these insecurities have been justified as warranting additional protections. Namely, examples of threats posed by foreign state-sponsored hackers, cyber-terrorism campaigns, and the company: Huawei </w:t>
      </w:r>
      <w:proofErr w:type="gramStart"/>
      <w:r>
        <w:rPr>
          <w:rFonts w:ascii="Times New Roman" w:eastAsia="Times New Roman" w:hAnsi="Times New Roman" w:cs="Times New Roman"/>
          <w:sz w:val="24"/>
          <w:szCs w:val="24"/>
        </w:rPr>
        <w:t>will be analyzed</w:t>
      </w:r>
      <w:proofErr w:type="gramEnd"/>
      <w:r>
        <w:rPr>
          <w:rFonts w:ascii="Times New Roman" w:eastAsia="Times New Roman" w:hAnsi="Times New Roman" w:cs="Times New Roman"/>
          <w:sz w:val="24"/>
          <w:szCs w:val="24"/>
        </w:rPr>
        <w:t xml:space="preserve">. Each of these three examples </w:t>
      </w:r>
      <w:proofErr w:type="gramStart"/>
      <w:r>
        <w:rPr>
          <w:rFonts w:ascii="Times New Roman" w:eastAsia="Times New Roman" w:hAnsi="Times New Roman" w:cs="Times New Roman"/>
          <w:sz w:val="24"/>
          <w:szCs w:val="24"/>
        </w:rPr>
        <w:t>will be examined</w:t>
      </w:r>
      <w:proofErr w:type="gramEnd"/>
      <w:r>
        <w:rPr>
          <w:rFonts w:ascii="Times New Roman" w:eastAsia="Times New Roman" w:hAnsi="Times New Roman" w:cs="Times New Roman"/>
          <w:sz w:val="24"/>
          <w:szCs w:val="24"/>
        </w:rPr>
        <w:t xml:space="preserve"> using a post-positive approach with qualitative data and some use of quantitative data. The Copenhagen School approach </w:t>
      </w:r>
      <w:proofErr w:type="gramStart"/>
      <w:r>
        <w:rPr>
          <w:rFonts w:ascii="Times New Roman" w:eastAsia="Times New Roman" w:hAnsi="Times New Roman" w:cs="Times New Roman"/>
          <w:sz w:val="24"/>
          <w:szCs w:val="24"/>
        </w:rPr>
        <w:t>is utilized</w:t>
      </w:r>
      <w:proofErr w:type="gramEnd"/>
      <w:r>
        <w:rPr>
          <w:rFonts w:ascii="Times New Roman" w:eastAsia="Times New Roman" w:hAnsi="Times New Roman" w:cs="Times New Roman"/>
          <w:sz w:val="24"/>
          <w:szCs w:val="24"/>
        </w:rPr>
        <w:t xml:space="preserve"> as a theoretical framework of analysis through securitization theory. A meta-analysis </w:t>
      </w:r>
      <w:proofErr w:type="gramStart"/>
      <w:r>
        <w:rPr>
          <w:rFonts w:ascii="Times New Roman" w:eastAsia="Times New Roman" w:hAnsi="Times New Roman" w:cs="Times New Roman"/>
          <w:sz w:val="24"/>
          <w:szCs w:val="24"/>
        </w:rPr>
        <w:t>is conducted</w:t>
      </w:r>
      <w:proofErr w:type="gramEnd"/>
      <w:r>
        <w:rPr>
          <w:rFonts w:ascii="Times New Roman" w:eastAsia="Times New Roman" w:hAnsi="Times New Roman" w:cs="Times New Roman"/>
          <w:sz w:val="24"/>
          <w:szCs w:val="24"/>
        </w:rPr>
        <w:t xml:space="preserve"> to understand past theoretical and empirical approaches to critical infrastructure. This paper will ask how national and international uses of discourses, policy, and legislation concerning these three areas have contributed to the larger securitization of Canadian critical infrastructure. It is argued that the securitization of critical infrastructure in Canada as a cybersecurity concern has been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numerous speech acts, executive orders, and uses of discourse by a variety of state and non-state actors. The hypothesis under analysis finds a causal relationship between the use of such discourses, policies, and legislation on how cybersecurity </w:t>
      </w:r>
      <w:proofErr w:type="gramStart"/>
      <w:r>
        <w:rPr>
          <w:rFonts w:ascii="Times New Roman" w:eastAsia="Times New Roman" w:hAnsi="Times New Roman" w:cs="Times New Roman"/>
          <w:sz w:val="24"/>
          <w:szCs w:val="24"/>
        </w:rPr>
        <w:t>is interpreted</w:t>
      </w:r>
      <w:proofErr w:type="gramEnd"/>
      <w:r>
        <w:rPr>
          <w:rFonts w:ascii="Times New Roman" w:eastAsia="Times New Roman" w:hAnsi="Times New Roman" w:cs="Times New Roman"/>
          <w:sz w:val="24"/>
          <w:szCs w:val="24"/>
        </w:rPr>
        <w:t xml:space="preserve"> as a national security concern.</w:t>
      </w:r>
    </w:p>
    <w:p w:rsidR="00C30C8B" w:rsidRDefault="00C30C8B">
      <w:pPr>
        <w:shd w:val="clear" w:color="auto" w:fill="FFFFFF"/>
        <w:jc w:val="both"/>
        <w:rPr>
          <w:rFonts w:ascii="Times New Roman" w:eastAsia="Times New Roman" w:hAnsi="Times New Roman" w:cs="Times New Roman"/>
          <w:b/>
          <w:sz w:val="24"/>
          <w:szCs w:val="24"/>
        </w:rPr>
      </w:pPr>
    </w:p>
    <w:p w:rsidR="00C30C8B" w:rsidRDefault="001E516C">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w:t>
      </w:r>
      <w:r>
        <w:rPr>
          <w:rFonts w:ascii="Times New Roman" w:eastAsia="Times New Roman" w:hAnsi="Times New Roman" w:cs="Times New Roman"/>
          <w:sz w:val="24"/>
          <w:szCs w:val="24"/>
        </w:rPr>
        <w:t>Securization, Copenhagen School, critical infrastructure, state-sponsored hackers, cyber-terrorism, Huawei, national security, Canada</w:t>
      </w: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br/>
      </w:r>
    </w:p>
    <w:p w:rsidR="00C30C8B" w:rsidRDefault="001E516C">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EF2EA7" w:rsidRDefault="00EF2EA7">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rPr>
          <w:rFonts w:ascii="Times New Roman" w:eastAsia="Times New Roman" w:hAnsi="Times New Roman" w:cs="Times New Roman"/>
          <w:sz w:val="24"/>
          <w:szCs w:val="24"/>
        </w:rPr>
      </w:pPr>
    </w:p>
    <w:p w:rsidR="00C30C8B" w:rsidRDefault="001E516C">
      <w:pP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Cybersecurity and Critical Infrastructure: An Analysis Using Securitization Theory</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infrastructure is defined by Public Safety Canada as being the “processes, systems, facilities, technologies, networks, assets and services essential to the health, safety, security or economic well-being of Canadians and the effective functioning of government” (Public Safety Canada, 2019, par. 1). Canada’s critical infrastructure enables mass communication networks, water supply, finance and banking, natural gas, transportation, and power grids. As Canadian citizens and the Canadian state remain structurally dependant on critical infrastructure for economic, political, and societal needs, there has been increased pressure to implement additional security measures for improved protection.</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Copenhagen School framework </w:t>
      </w:r>
      <w:proofErr w:type="gramStart"/>
      <w:r>
        <w:rPr>
          <w:rFonts w:ascii="Times New Roman" w:eastAsia="Times New Roman" w:hAnsi="Times New Roman" w:cs="Times New Roman"/>
          <w:sz w:val="24"/>
          <w:szCs w:val="24"/>
        </w:rPr>
        <w:t>will be utilized</w:t>
      </w:r>
      <w:proofErr w:type="gramEnd"/>
      <w:r>
        <w:rPr>
          <w:rFonts w:ascii="Times New Roman" w:eastAsia="Times New Roman" w:hAnsi="Times New Roman" w:cs="Times New Roman"/>
          <w:sz w:val="24"/>
          <w:szCs w:val="24"/>
        </w:rPr>
        <w:t xml:space="preserve"> to examine three instances that have experienced securitizing discourse. The Copenhagen School utilizes securitization theory to consider how political issues </w:t>
      </w:r>
      <w:proofErr w:type="gramStart"/>
      <w:r>
        <w:rPr>
          <w:rFonts w:ascii="Times New Roman" w:eastAsia="Times New Roman" w:hAnsi="Times New Roman" w:cs="Times New Roman"/>
          <w:sz w:val="24"/>
          <w:szCs w:val="24"/>
        </w:rPr>
        <w:t>are characterized</w:t>
      </w:r>
      <w:proofErr w:type="gramEnd"/>
      <w:r>
        <w:rPr>
          <w:rFonts w:ascii="Times New Roman" w:eastAsia="Times New Roman" w:hAnsi="Times New Roman" w:cs="Times New Roman"/>
          <w:sz w:val="24"/>
          <w:szCs w:val="24"/>
        </w:rPr>
        <w:t xml:space="preserve"> as matters concerning safety and security in efforts to remove them from the realm of public debate. More specifically, securitization theory examines how state and non-state actors utilize discourse, speech acts, legislation, and executive orders to designate an issue as a threat. Speech acts function as a broad form of </w:t>
      </w:r>
      <w:proofErr w:type="gramStart"/>
      <w:r>
        <w:rPr>
          <w:rFonts w:ascii="Times New Roman" w:eastAsia="Times New Roman" w:hAnsi="Times New Roman" w:cs="Times New Roman"/>
          <w:sz w:val="24"/>
          <w:szCs w:val="24"/>
        </w:rPr>
        <w:t>discourse which</w:t>
      </w:r>
      <w:proofErr w:type="gramEnd"/>
      <w:r>
        <w:rPr>
          <w:rFonts w:ascii="Times New Roman" w:eastAsia="Times New Roman" w:hAnsi="Times New Roman" w:cs="Times New Roman"/>
          <w:sz w:val="24"/>
          <w:szCs w:val="24"/>
        </w:rPr>
        <w:t xml:space="preserve"> both presents information and acts to securitize an issue. Within the context of this paper, issues </w:t>
      </w:r>
      <w:proofErr w:type="gramStart"/>
      <w:r>
        <w:rPr>
          <w:rFonts w:ascii="Times New Roman" w:eastAsia="Times New Roman" w:hAnsi="Times New Roman" w:cs="Times New Roman"/>
          <w:sz w:val="24"/>
          <w:szCs w:val="24"/>
        </w:rPr>
        <w:t>will be analyzed</w:t>
      </w:r>
      <w:proofErr w:type="gramEnd"/>
      <w:r>
        <w:rPr>
          <w:rFonts w:ascii="Times New Roman" w:eastAsia="Times New Roman" w:hAnsi="Times New Roman" w:cs="Times New Roman"/>
          <w:sz w:val="24"/>
          <w:szCs w:val="24"/>
        </w:rPr>
        <w:t xml:space="preserve"> in relation to how they have been characterized as cybersecurity issues. Cybersecurity is specifically the realm of securitization, which is concerned with computer systems, the internet, electronic hardware, software, and critical infrastructure. Three areas of </w:t>
      </w:r>
      <w:proofErr w:type="gramStart"/>
      <w:r>
        <w:rPr>
          <w:rFonts w:ascii="Times New Roman" w:eastAsia="Times New Roman" w:hAnsi="Times New Roman" w:cs="Times New Roman"/>
          <w:sz w:val="24"/>
          <w:szCs w:val="24"/>
        </w:rPr>
        <w:t>risk which have been characterized as a threat to critical infrastructure</w:t>
      </w:r>
      <w:proofErr w:type="gramEnd"/>
      <w:r>
        <w:rPr>
          <w:rFonts w:ascii="Times New Roman" w:eastAsia="Times New Roman" w:hAnsi="Times New Roman" w:cs="Times New Roman"/>
          <w:sz w:val="24"/>
          <w:szCs w:val="24"/>
        </w:rPr>
        <w:t xml:space="preserve"> will be analyzed. Cyber-terrorism, state-sponsored hacking, and Huawei are relevant areas of analysis as they concern recent </w:t>
      </w:r>
      <w:proofErr w:type="gramStart"/>
      <w:r>
        <w:rPr>
          <w:rFonts w:ascii="Times New Roman" w:eastAsia="Times New Roman" w:hAnsi="Times New Roman" w:cs="Times New Roman"/>
          <w:sz w:val="24"/>
          <w:szCs w:val="24"/>
        </w:rPr>
        <w:t>developments which</w:t>
      </w:r>
      <w:proofErr w:type="gramEnd"/>
      <w:r>
        <w:rPr>
          <w:rFonts w:ascii="Times New Roman" w:eastAsia="Times New Roman" w:hAnsi="Times New Roman" w:cs="Times New Roman"/>
          <w:sz w:val="24"/>
          <w:szCs w:val="24"/>
        </w:rPr>
        <w:t xml:space="preserve"> are essentially connected to the securitization of critical infrastructure.</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Cyber-terrorism acts as a relevant area of examination in relation to the securitization of Canadian infrastructure as </w:t>
      </w:r>
      <w:proofErr w:type="gramStart"/>
      <w:r>
        <w:rPr>
          <w:rFonts w:ascii="Times New Roman" w:eastAsia="Times New Roman" w:hAnsi="Times New Roman" w:cs="Times New Roman"/>
          <w:sz w:val="24"/>
          <w:szCs w:val="24"/>
        </w:rPr>
        <w:t>it has been frequently referenced by both state and non-state actors</w:t>
      </w:r>
      <w:proofErr w:type="gramEnd"/>
      <w:r>
        <w:rPr>
          <w:rFonts w:ascii="Times New Roman" w:eastAsia="Times New Roman" w:hAnsi="Times New Roman" w:cs="Times New Roman"/>
          <w:sz w:val="24"/>
          <w:szCs w:val="24"/>
        </w:rPr>
        <w:t xml:space="preserve"> as </w:t>
      </w:r>
      <w:r>
        <w:rPr>
          <w:rFonts w:ascii="Times New Roman" w:eastAsia="Times New Roman" w:hAnsi="Times New Roman" w:cs="Times New Roman"/>
          <w:sz w:val="24"/>
          <w:szCs w:val="24"/>
        </w:rPr>
        <w:lastRenderedPageBreak/>
        <w:t xml:space="preserve">an issue which concerns national security. Cyber-terrorism is differentiated from other forms of insecurity in that </w:t>
      </w:r>
      <w:proofErr w:type="gramStart"/>
      <w:r>
        <w:rPr>
          <w:rFonts w:ascii="Times New Roman" w:eastAsia="Times New Roman" w:hAnsi="Times New Roman" w:cs="Times New Roman"/>
          <w:sz w:val="24"/>
          <w:szCs w:val="24"/>
        </w:rPr>
        <w:t>it is conducted by non-state actors for political, social, or religious causes (Kenney, 2015)</w:t>
      </w:r>
      <w:proofErr w:type="gramEnd"/>
      <w:r>
        <w:rPr>
          <w:rFonts w:ascii="Times New Roman" w:eastAsia="Times New Roman" w:hAnsi="Times New Roman" w:cs="Times New Roman"/>
          <w:sz w:val="24"/>
          <w:szCs w:val="24"/>
        </w:rPr>
        <w:t>. What differentiates cyber-terrorism from other areas of analysis is that it specifically concerns actions taken by non-state actors against critical infrastructure. Historically, cyber-terrorism efforts have targeted Supervisory Control and Data Acquisition (SCADA) systems that regulate and control critical infrastructure (Kenney, 2015).</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subject of state-sponsored hackers has increased over recent years with the projected number of state hackers expected to increase into the future (Nguyen, 2015). This area has become increasing relevant due to media coverage in recent years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foreign election interference. Notable states have begun utilizing state-sponsored </w:t>
      </w:r>
      <w:proofErr w:type="gramStart"/>
      <w:r>
        <w:rPr>
          <w:rFonts w:ascii="Times New Roman" w:eastAsia="Times New Roman" w:hAnsi="Times New Roman" w:cs="Times New Roman"/>
          <w:sz w:val="24"/>
          <w:szCs w:val="24"/>
        </w:rPr>
        <w:t>hackers which</w:t>
      </w:r>
      <w:proofErr w:type="gramEnd"/>
      <w:r>
        <w:rPr>
          <w:rFonts w:ascii="Times New Roman" w:eastAsia="Times New Roman" w:hAnsi="Times New Roman" w:cs="Times New Roman"/>
          <w:sz w:val="24"/>
          <w:szCs w:val="24"/>
        </w:rPr>
        <w:t xml:space="preserve"> include Russia, North Korea, China, Indonesia, and the United States (Nguyen, 2015; Vincent, 2017). As discourse relating to recent interference by state-sponsored hackers in elections continues to be a major </w:t>
      </w:r>
      <w:proofErr w:type="gramStart"/>
      <w:r>
        <w:rPr>
          <w:rFonts w:ascii="Times New Roman" w:eastAsia="Times New Roman" w:hAnsi="Times New Roman" w:cs="Times New Roman"/>
          <w:sz w:val="24"/>
          <w:szCs w:val="24"/>
        </w:rPr>
        <w:t>political focus in Canada, this subject be analyzed</w:t>
      </w:r>
      <w:proofErr w:type="gramEnd"/>
      <w:r>
        <w:rPr>
          <w:rFonts w:ascii="Times New Roman" w:eastAsia="Times New Roman" w:hAnsi="Times New Roman" w:cs="Times New Roman"/>
          <w:sz w:val="24"/>
          <w:szCs w:val="24"/>
        </w:rPr>
        <w:t xml:space="preserve"> in detail.</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Warnings against potential dangers that the company Huawei pose have spread increasingly over the past year with warnings from security officials and experts (Braga, 2019). Much of this is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increased discussion of 5G technology implementation into Canada’s telecommunications network. The American government has banned the company from the United States, citing alleged links to the Chinese state and military, and has warned other Five Eyes states to do the same or risk losing access to American classified intelligence (Harnik, 2019). The Five Eyes is an intelligence alliance between the United States, Canada, New Zealand, Australian, and the United Kingdom. As the alliance allows all five states to actively share classified information among one another, recent discourse by American state actors threaten its future. Huawei acts as an important area of analysis as it relates more broadly to potentially restricting business access to Canada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conceptualizing critical infrastructure as a national security issue.</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this research paper, it is argued that the securitization of Canadian critical infrastructure as a cybersecurity concern has been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speech acts, policies, legislation, and discourse by a variety of actors. It will be examined how the global use of discourses, policies, and legislation have contributed to the larger securitization of Canadian critical infrastructure within a global context. The Copenhagen School approach </w:t>
      </w:r>
      <w:proofErr w:type="gramStart"/>
      <w:r>
        <w:rPr>
          <w:rFonts w:ascii="Times New Roman" w:eastAsia="Times New Roman" w:hAnsi="Times New Roman" w:cs="Times New Roman"/>
          <w:sz w:val="24"/>
          <w:szCs w:val="24"/>
        </w:rPr>
        <w:t>will be utilized</w:t>
      </w:r>
      <w:proofErr w:type="gramEnd"/>
      <w:r>
        <w:rPr>
          <w:rFonts w:ascii="Times New Roman" w:eastAsia="Times New Roman" w:hAnsi="Times New Roman" w:cs="Times New Roman"/>
          <w:sz w:val="24"/>
          <w:szCs w:val="24"/>
        </w:rPr>
        <w:t xml:space="preserve"> through a comprehensive meta-analysis to ask how national and international uses of discourses, policies, and legislation have contributed to the securitization of critical infrastructure in Canada.</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w:t>
      </w:r>
      <w:proofErr w:type="gramStart"/>
      <w:r>
        <w:rPr>
          <w:rFonts w:ascii="Times New Roman" w:eastAsia="Times New Roman" w:hAnsi="Times New Roman" w:cs="Times New Roman"/>
          <w:sz w:val="24"/>
          <w:szCs w:val="24"/>
        </w:rPr>
        <w:t>will be made up</w:t>
      </w:r>
      <w:proofErr w:type="gramEnd"/>
      <w:r>
        <w:rPr>
          <w:rFonts w:ascii="Times New Roman" w:eastAsia="Times New Roman" w:hAnsi="Times New Roman" w:cs="Times New Roman"/>
          <w:sz w:val="24"/>
          <w:szCs w:val="24"/>
        </w:rPr>
        <w:t xml:space="preserve"> of a methods section, literature review, analysis, and conclusion. The methods section will outline the framework of analysis. The literature review will comprise of identifying academic texts which are relevant and summarizing their approaches. The literature review will also analyze how the arguments presented in applicable sources differ and contrast to other research. Later analysis will examine evidence in-depth. The conclusion will act as a reflection of this research and detail how future studies could expand about critical infrastructure and cybersecurity.</w:t>
      </w:r>
    </w:p>
    <w:p w:rsidR="00C30C8B" w:rsidRDefault="00C30C8B">
      <w:pPr>
        <w:shd w:val="clear" w:color="auto" w:fill="FFFFFF"/>
        <w:spacing w:line="480" w:lineRule="auto"/>
        <w:jc w:val="both"/>
        <w:rPr>
          <w:rFonts w:ascii="Times New Roman" w:eastAsia="Times New Roman" w:hAnsi="Times New Roman" w:cs="Times New Roman"/>
          <w:sz w:val="24"/>
          <w:szCs w:val="24"/>
        </w:rPr>
      </w:pPr>
    </w:p>
    <w:p w:rsidR="00C30C8B" w:rsidRDefault="001E516C">
      <w:pP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study will utilize a meta-analysis </w:t>
      </w:r>
      <w:proofErr w:type="gramStart"/>
      <w:r>
        <w:rPr>
          <w:rFonts w:ascii="Times New Roman" w:eastAsia="Times New Roman" w:hAnsi="Times New Roman" w:cs="Times New Roman"/>
          <w:sz w:val="24"/>
          <w:szCs w:val="24"/>
        </w:rPr>
        <w:t>to better understand</w:t>
      </w:r>
      <w:proofErr w:type="gramEnd"/>
      <w:r>
        <w:rPr>
          <w:rFonts w:ascii="Times New Roman" w:eastAsia="Times New Roman" w:hAnsi="Times New Roman" w:cs="Times New Roman"/>
          <w:sz w:val="24"/>
          <w:szCs w:val="24"/>
        </w:rPr>
        <w:t xml:space="preserve"> both past and present theoretical and empirical approaches to cybersecurity and its relation to critical infrastructure. This section will outline the methods of examining existent academic research in the literature review while also providing an outline of the framework used in the later analysis of this paper.</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study into critical infrastructure is vast and broad, the study of secondary sources in the literature review will span over the past fifteen years to ensure appropriate timely relevance. It will also focus on Canadian critical infrastructure and that of member states in the Five Eyes intelligence alliance. By utilizing cases by Five Eyes states, the scope of global securitization </w:t>
      </w:r>
      <w:proofErr w:type="gramStart"/>
      <w:r>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lastRenderedPageBreak/>
        <w:t>be understood</w:t>
      </w:r>
      <w:proofErr w:type="gramEnd"/>
      <w:r>
        <w:rPr>
          <w:rFonts w:ascii="Times New Roman" w:eastAsia="Times New Roman" w:hAnsi="Times New Roman" w:cs="Times New Roman"/>
          <w:sz w:val="24"/>
          <w:szCs w:val="24"/>
        </w:rPr>
        <w:t xml:space="preserve"> in relation to Canada’s critical infrastructure. These parameters of research will establish proper context on existing research and arguments within the field of critical infrastructure.</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this paper argues that securitization of critical infrastructure comes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speech acts and policies used by actors, the analysis will focus on qualitative examples with some additional quantitative analysis. Data collection </w:t>
      </w:r>
      <w:proofErr w:type="gramStart"/>
      <w:r>
        <w:rPr>
          <w:rFonts w:ascii="Times New Roman" w:eastAsia="Times New Roman" w:hAnsi="Times New Roman" w:cs="Times New Roman"/>
          <w:sz w:val="24"/>
          <w:szCs w:val="24"/>
        </w:rPr>
        <w:t>will be centered</w:t>
      </w:r>
      <w:proofErr w:type="gramEnd"/>
      <w:r>
        <w:rPr>
          <w:rFonts w:ascii="Times New Roman" w:eastAsia="Times New Roman" w:hAnsi="Times New Roman" w:cs="Times New Roman"/>
          <w:sz w:val="24"/>
          <w:szCs w:val="24"/>
        </w:rPr>
        <w:t xml:space="preserve"> on observed events that have led to the securitization of critical infrastructure. There will be analysis of legislation, speeches, and government documents. Analysis will include, but not be limited to, Government of Canada webpages, publicized documents, and speeches. There will also be some empirical analysis and examination of government spending patterns. Budget documents from the Canadian Department of Finance </w:t>
      </w:r>
      <w:proofErr w:type="gramStart"/>
      <w:r>
        <w:rPr>
          <w:rFonts w:ascii="Times New Roman" w:eastAsia="Times New Roman" w:hAnsi="Times New Roman" w:cs="Times New Roman"/>
          <w:sz w:val="24"/>
          <w:szCs w:val="24"/>
        </w:rPr>
        <w:t>will be utilized</w:t>
      </w:r>
      <w:proofErr w:type="gramEnd"/>
      <w:r>
        <w:rPr>
          <w:rFonts w:ascii="Times New Roman" w:eastAsia="Times New Roman" w:hAnsi="Times New Roman" w:cs="Times New Roman"/>
          <w:sz w:val="24"/>
          <w:szCs w:val="24"/>
        </w:rPr>
        <w:t xml:space="preserve">. Relevant findings from existing academic articles will also be included. News articles from reputable sources </w:t>
      </w:r>
      <w:proofErr w:type="gramStart"/>
      <w:r>
        <w:rPr>
          <w:rFonts w:ascii="Times New Roman" w:eastAsia="Times New Roman" w:hAnsi="Times New Roman" w:cs="Times New Roman"/>
          <w:sz w:val="24"/>
          <w:szCs w:val="24"/>
        </w:rPr>
        <w:t>will be referenced</w:t>
      </w:r>
      <w:proofErr w:type="gramEnd"/>
      <w:r>
        <w:rPr>
          <w:rFonts w:ascii="Times New Roman" w:eastAsia="Times New Roman" w:hAnsi="Times New Roman" w:cs="Times New Roman"/>
          <w:sz w:val="24"/>
          <w:szCs w:val="24"/>
        </w:rPr>
        <w:t xml:space="preserve">. Analysis will use a post-positivist approach to justify the relation of discourse on securitization. Post-positivism is a theoretical </w:t>
      </w:r>
      <w:proofErr w:type="gramStart"/>
      <w:r>
        <w:rPr>
          <w:rFonts w:ascii="Times New Roman" w:eastAsia="Times New Roman" w:hAnsi="Times New Roman" w:cs="Times New Roman"/>
          <w:sz w:val="24"/>
          <w:szCs w:val="24"/>
        </w:rPr>
        <w:t>stance which</w:t>
      </w:r>
      <w:proofErr w:type="gramEnd"/>
      <w:r>
        <w:rPr>
          <w:rFonts w:ascii="Times New Roman" w:eastAsia="Times New Roman" w:hAnsi="Times New Roman" w:cs="Times New Roman"/>
          <w:sz w:val="24"/>
          <w:szCs w:val="24"/>
        </w:rPr>
        <w:t xml:space="preserve"> examines various perspectives to understand existing power relations in international relations. It is an </w:t>
      </w:r>
      <w:proofErr w:type="gramStart"/>
      <w:r>
        <w:rPr>
          <w:rFonts w:ascii="Times New Roman" w:eastAsia="Times New Roman" w:hAnsi="Times New Roman" w:cs="Times New Roman"/>
          <w:sz w:val="24"/>
          <w:szCs w:val="24"/>
        </w:rPr>
        <w:t>approach which</w:t>
      </w:r>
      <w:proofErr w:type="gramEnd"/>
      <w:r>
        <w:rPr>
          <w:rFonts w:ascii="Times New Roman" w:eastAsia="Times New Roman" w:hAnsi="Times New Roman" w:cs="Times New Roman"/>
          <w:sz w:val="24"/>
          <w:szCs w:val="24"/>
        </w:rPr>
        <w:t xml:space="preserve"> recognizes the existent of biases in research as it is impossible to be fully independent.</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of this paper will be comprehensive yet intellectual by targeting scholars and students as the audience. This research paper will distinguish itself among previously written works in its analysis of critical infrastructure through the theoretical framework of the Copenhagen School approach by analyzing concerns of cyber-terrorism, state-sponsored hackers, and Huawei.</w:t>
      </w:r>
    </w:p>
    <w:p w:rsidR="00C30C8B" w:rsidRDefault="001E516C">
      <w:pP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Literature Review</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Empirical and scientific based approaches to understanding cyber-insecurities </w:t>
      </w:r>
      <w:proofErr w:type="gramStart"/>
      <w:r>
        <w:rPr>
          <w:rFonts w:ascii="Times New Roman" w:eastAsia="Times New Roman" w:hAnsi="Times New Roman" w:cs="Times New Roman"/>
          <w:sz w:val="24"/>
          <w:szCs w:val="24"/>
        </w:rPr>
        <w:t>are often utilized</w:t>
      </w:r>
      <w:proofErr w:type="gramEnd"/>
      <w:r>
        <w:rPr>
          <w:rFonts w:ascii="Times New Roman" w:eastAsia="Times New Roman" w:hAnsi="Times New Roman" w:cs="Times New Roman"/>
          <w:sz w:val="24"/>
          <w:szCs w:val="24"/>
        </w:rPr>
        <w:t xml:space="preserve"> in texts that seek to identify vulnerabilities in current critical infrastructure. These texts often resort to mathematical and scientific reasoning. This </w:t>
      </w:r>
      <w:proofErr w:type="gramStart"/>
      <w:r>
        <w:rPr>
          <w:rFonts w:ascii="Times New Roman" w:eastAsia="Times New Roman" w:hAnsi="Times New Roman" w:cs="Times New Roman"/>
          <w:sz w:val="24"/>
          <w:szCs w:val="24"/>
        </w:rPr>
        <w:t>can be seen</w:t>
      </w:r>
      <w:proofErr w:type="gramEnd"/>
      <w:r>
        <w:rPr>
          <w:rFonts w:ascii="Times New Roman" w:eastAsia="Times New Roman" w:hAnsi="Times New Roman" w:cs="Times New Roman"/>
          <w:sz w:val="24"/>
          <w:szCs w:val="24"/>
        </w:rPr>
        <w:t xml:space="preserve"> in Roy, Ellis, Shiva, Dasgupta, </w:t>
      </w:r>
      <w:r>
        <w:rPr>
          <w:rFonts w:ascii="Times New Roman" w:eastAsia="Times New Roman" w:hAnsi="Times New Roman" w:cs="Times New Roman"/>
          <w:sz w:val="24"/>
          <w:szCs w:val="24"/>
        </w:rPr>
        <w:lastRenderedPageBreak/>
        <w:t>Shandilya, and Wu’s (2010) “A Survey of Game Theory as Applied to Network Security”</w:t>
      </w:r>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 xml:space="preserve">that uses the empirically informed game theory to examine how actors interact. “A Survey of Game Theory as Applied to Network Security” understands how the effectiveness of efforts to increase cybersecurity are contingent on actions that </w:t>
      </w:r>
      <w:proofErr w:type="gramStart"/>
      <w:r>
        <w:rPr>
          <w:rFonts w:ascii="Times New Roman" w:eastAsia="Times New Roman" w:hAnsi="Times New Roman" w:cs="Times New Roman"/>
          <w:sz w:val="24"/>
          <w:szCs w:val="24"/>
        </w:rPr>
        <w:t>are taken</w:t>
      </w:r>
      <w:proofErr w:type="gramEnd"/>
      <w:r>
        <w:rPr>
          <w:rFonts w:ascii="Times New Roman" w:eastAsia="Times New Roman" w:hAnsi="Times New Roman" w:cs="Times New Roman"/>
          <w:sz w:val="24"/>
          <w:szCs w:val="24"/>
        </w:rPr>
        <w:t xml:space="preserve"> to threaten it (Roy et al., 2010). This use of game theory illustrates actor dynamics in global politics but prove ineffective at generating a more comprehensible understanding for readers who are unfamiliar with the concepts.</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Ralston, Graham, and Hieb’s (2007) “Cyber-Security Risk Assessment for SCADA and DCS Networks”</w:t>
      </w:r>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 xml:space="preserve">utilizes a unique empirical approach. They agree that focus </w:t>
      </w:r>
      <w:proofErr w:type="gramStart"/>
      <w:r>
        <w:rPr>
          <w:rFonts w:ascii="Times New Roman" w:eastAsia="Times New Roman" w:hAnsi="Times New Roman" w:cs="Times New Roman"/>
          <w:sz w:val="24"/>
          <w:szCs w:val="24"/>
        </w:rPr>
        <w:t>should be emphasized</w:t>
      </w:r>
      <w:proofErr w:type="gramEnd"/>
      <w:r>
        <w:rPr>
          <w:rFonts w:ascii="Times New Roman" w:eastAsia="Times New Roman" w:hAnsi="Times New Roman" w:cs="Times New Roman"/>
          <w:sz w:val="24"/>
          <w:szCs w:val="24"/>
        </w:rPr>
        <w:t xml:space="preserve"> on understanding the risk, probability, and potential impact of an attack but they instead choose to use attack and vulnerability trees to analyze these probabilities (Ralston et al., 2007). This scientific form of analysis continues in the tradition of other sources who use scientific methods to understand the level of threats to critical infrastructure systems. Ted Lewis’ (2006) “Critical Infrastructure in Homeland Security: Defending a Networked Nation” examines the extent of connection between networks and attempts to identify possible weaknesses. This is done using network theory and simulation software which are both scientifically informed (Lewis, 2006). These previously noted texts are similar in their focus on reducing risk of cybersecurity attack. </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sources instead choose to use qualitative and historical analysis to understand the role of cybersecurity on critical infrastructure. Cox’s (2013) “Canada and the Five Eyes Intelligence Community” argues that states which are participants of the Five Eyes intelligence alliance should improve critical infrastructure security to ensure secure intelligence sharing to other states in the intelligence alliance. Another example of a source that utilizes qualitative data is that of Vincent’s “State-Sponsored Hackers: The New Normal for Business”. Vincent (2017) uses historical examples such as recent foreign election interference and data breaches to argue that state-sponsored hackers are becoming more prevalent. He argues that governments and businesses </w:t>
      </w:r>
      <w:r>
        <w:rPr>
          <w:rFonts w:ascii="Times New Roman" w:eastAsia="Times New Roman" w:hAnsi="Times New Roman" w:cs="Times New Roman"/>
          <w:sz w:val="24"/>
          <w:szCs w:val="24"/>
        </w:rPr>
        <w:lastRenderedPageBreak/>
        <w:t>should adapt to secure networks. Similarly, Shoebridge’s (2018) “Chinese Cyber Espionage and the National Security Risks Huawei Poses to 5G Networks” relies on qualitative data in the form of historical events and law to explain the context of the technology company, Huawei. Shoebridge (2018) explains how Huawei could pose potential threats to Canada’s critical infrastructure. Although most texts focus on the American state as an example, Shoebridge and Cox are two of the few sources that focuses specifically on the Canadian state’s critical infrastructure. Arguments presented by Cox, Vincent, and Shoebridge have a common theme which legitimize and support increased funding for critical infrastructure security. </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Nguyen’s analysis, in “State Sponsored Hacking and Espionage”, is </w:t>
      </w:r>
      <w:proofErr w:type="gramStart"/>
      <w:r>
        <w:rPr>
          <w:rFonts w:ascii="Times New Roman" w:eastAsia="Times New Roman" w:hAnsi="Times New Roman" w:cs="Times New Roman"/>
          <w:sz w:val="24"/>
          <w:szCs w:val="24"/>
        </w:rPr>
        <w:t>very unique</w:t>
      </w:r>
      <w:proofErr w:type="gramEnd"/>
      <w:r>
        <w:rPr>
          <w:rFonts w:ascii="Times New Roman" w:eastAsia="Times New Roman" w:hAnsi="Times New Roman" w:cs="Times New Roman"/>
          <w:sz w:val="24"/>
          <w:szCs w:val="24"/>
        </w:rPr>
        <w:t xml:space="preserve"> in that it utilizes a balanced combination of both qualitative and quantitative data. Nguyen (2015) examines statistics to examine the number of hackers by state while also utilizing historical information to document successful state-sponsored hacking attacks.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many texts focusing on the effects of attempts by actors to stabilize and destabilize western critical infrastructure, this contributes to a larger western-centric view across all texts examining cybersecurity. This has its consequences in that it reinforces understandings of internal security and external threats but </w:t>
      </w:r>
      <w:proofErr w:type="gramStart"/>
      <w:r>
        <w:rPr>
          <w:rFonts w:ascii="Times New Roman" w:eastAsia="Times New Roman" w:hAnsi="Times New Roman" w:cs="Times New Roman"/>
          <w:sz w:val="24"/>
          <w:szCs w:val="24"/>
        </w:rPr>
        <w:t>is likely done</w:t>
      </w:r>
      <w:proofErr w:type="gramEnd"/>
      <w:r>
        <w:rPr>
          <w:rFonts w:ascii="Times New Roman" w:eastAsia="Times New Roman" w:hAnsi="Times New Roman" w:cs="Times New Roman"/>
          <w:sz w:val="24"/>
          <w:szCs w:val="24"/>
        </w:rPr>
        <w:t xml:space="preserve"> unintentionally. As critical infrastructure </w:t>
      </w:r>
      <w:proofErr w:type="gramStart"/>
      <w:r>
        <w:rPr>
          <w:rFonts w:ascii="Times New Roman" w:eastAsia="Times New Roman" w:hAnsi="Times New Roman" w:cs="Times New Roman"/>
          <w:sz w:val="24"/>
          <w:szCs w:val="24"/>
        </w:rPr>
        <w:t>has been characterized</w:t>
      </w:r>
      <w:proofErr w:type="gramEnd"/>
      <w:r>
        <w:rPr>
          <w:rFonts w:ascii="Times New Roman" w:eastAsia="Times New Roman" w:hAnsi="Times New Roman" w:cs="Times New Roman"/>
          <w:sz w:val="24"/>
          <w:szCs w:val="24"/>
        </w:rPr>
        <w:t xml:space="preserve"> as a national security issue, the format of cybersecurity analysis is often forced into a predetermined western framework. It should be noted that this </w:t>
      </w:r>
      <w:proofErr w:type="gramStart"/>
      <w:r>
        <w:rPr>
          <w:rFonts w:ascii="Times New Roman" w:eastAsia="Times New Roman" w:hAnsi="Times New Roman" w:cs="Times New Roman"/>
          <w:sz w:val="24"/>
          <w:szCs w:val="24"/>
        </w:rPr>
        <w:t>can</w:t>
      </w:r>
      <w:proofErr w:type="gramEnd"/>
      <w:r>
        <w:rPr>
          <w:rFonts w:ascii="Times New Roman" w:eastAsia="Times New Roman" w:hAnsi="Times New Roman" w:cs="Times New Roman"/>
          <w:sz w:val="24"/>
          <w:szCs w:val="24"/>
        </w:rPr>
        <w:t xml:space="preserve"> unintentionally exclude other perspectives and reiterate western-centric binaries.</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academic texts differ in </w:t>
      </w:r>
      <w:proofErr w:type="gramStart"/>
      <w:r>
        <w:rPr>
          <w:rFonts w:ascii="Times New Roman" w:eastAsia="Times New Roman" w:hAnsi="Times New Roman" w:cs="Times New Roman"/>
          <w:sz w:val="24"/>
          <w:szCs w:val="24"/>
        </w:rPr>
        <w:t>who</w:t>
      </w:r>
      <w:proofErr w:type="gramEnd"/>
      <w:r>
        <w:rPr>
          <w:rFonts w:ascii="Times New Roman" w:eastAsia="Times New Roman" w:hAnsi="Times New Roman" w:cs="Times New Roman"/>
          <w:sz w:val="24"/>
          <w:szCs w:val="24"/>
        </w:rPr>
        <w:t xml:space="preserve"> they select as their target audience. Many scientifically informed texts </w:t>
      </w:r>
      <w:proofErr w:type="gramStart"/>
      <w:r>
        <w:rPr>
          <w:rFonts w:ascii="Times New Roman" w:eastAsia="Times New Roman" w:hAnsi="Times New Roman" w:cs="Times New Roman"/>
          <w:sz w:val="24"/>
          <w:szCs w:val="24"/>
        </w:rPr>
        <w:t>are often aimed</w:t>
      </w:r>
      <w:proofErr w:type="gramEnd"/>
      <w:r>
        <w:rPr>
          <w:rFonts w:ascii="Times New Roman" w:eastAsia="Times New Roman" w:hAnsi="Times New Roman" w:cs="Times New Roman"/>
          <w:sz w:val="24"/>
          <w:szCs w:val="24"/>
        </w:rPr>
        <w:t xml:space="preserve"> at use for professionals. Lewis’ methods </w:t>
      </w:r>
      <w:proofErr w:type="gramStart"/>
      <w:r>
        <w:rPr>
          <w:rFonts w:ascii="Times New Roman" w:eastAsia="Times New Roman" w:hAnsi="Times New Roman" w:cs="Times New Roman"/>
          <w:sz w:val="24"/>
          <w:szCs w:val="24"/>
        </w:rPr>
        <w:t>are used</w:t>
      </w:r>
      <w:proofErr w:type="gramEnd"/>
      <w:r>
        <w:rPr>
          <w:rFonts w:ascii="Times New Roman" w:eastAsia="Times New Roman" w:hAnsi="Times New Roman" w:cs="Times New Roman"/>
          <w:sz w:val="24"/>
          <w:szCs w:val="24"/>
        </w:rPr>
        <w:t xml:space="preserve"> to educate business professionals and policymakers in ways to secure American infrastructure from external threats. This </w:t>
      </w:r>
      <w:proofErr w:type="gramStart"/>
      <w:r>
        <w:rPr>
          <w:rFonts w:ascii="Times New Roman" w:eastAsia="Times New Roman" w:hAnsi="Times New Roman" w:cs="Times New Roman"/>
          <w:sz w:val="24"/>
          <w:szCs w:val="24"/>
        </w:rPr>
        <w:t>can be seen</w:t>
      </w:r>
      <w:proofErr w:type="gramEnd"/>
      <w:r>
        <w:rPr>
          <w:rFonts w:ascii="Times New Roman" w:eastAsia="Times New Roman" w:hAnsi="Times New Roman" w:cs="Times New Roman"/>
          <w:sz w:val="24"/>
          <w:szCs w:val="24"/>
        </w:rPr>
        <w:t xml:space="preserve"> in how he promotes the allocation of scarce resources to areas that minimize risk (Lewis, 2006). Differing from this approach, other sources attempt to communicate </w:t>
      </w:r>
      <w:r>
        <w:rPr>
          <w:rFonts w:ascii="Times New Roman" w:eastAsia="Times New Roman" w:hAnsi="Times New Roman" w:cs="Times New Roman"/>
          <w:sz w:val="24"/>
          <w:szCs w:val="24"/>
        </w:rPr>
        <w:lastRenderedPageBreak/>
        <w:t xml:space="preserve">to academics and scholars. Hansen and Nissenbaum’s (2009) “Digital Disaster, Cyber Security, and the Copenhagen School” is an example of this as they </w:t>
      </w:r>
      <w:proofErr w:type="gramStart"/>
      <w:r>
        <w:rPr>
          <w:rFonts w:ascii="Times New Roman" w:eastAsia="Times New Roman" w:hAnsi="Times New Roman" w:cs="Times New Roman"/>
          <w:sz w:val="24"/>
          <w:szCs w:val="24"/>
        </w:rPr>
        <w:t>critique</w:t>
      </w:r>
      <w:proofErr w:type="gramEnd"/>
      <w:r>
        <w:rPr>
          <w:rFonts w:ascii="Times New Roman" w:eastAsia="Times New Roman" w:hAnsi="Times New Roman" w:cs="Times New Roman"/>
          <w:sz w:val="24"/>
          <w:szCs w:val="24"/>
        </w:rPr>
        <w:t xml:space="preserve"> past actions by the state, businesses, and the media. </w:t>
      </w:r>
    </w:p>
    <w:p w:rsidR="00C30C8B" w:rsidRDefault="001E516C" w:rsidP="007F459E">
      <w:pPr>
        <w:shd w:val="clear" w:color="auto" w:fill="FFFFFF"/>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majority of studies to date, with the exception of Hansen and Nissenbaum’s “Digital Disaster, Cyber Security, and the Copenhagen School,” do not use the Copenhagen School to explain the securitization of critical infrastructure. Hansen and Nissenbaum’s analysis diverges from earlier interpretations of cybersecurity in its use of the Copenhagen School to explain how critical infrastructure has been securitized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discourse. Hansen and Nissenbaum’s (2009) </w:t>
      </w:r>
      <w:proofErr w:type="gramStart"/>
      <w:r>
        <w:rPr>
          <w:rFonts w:ascii="Times New Roman" w:eastAsia="Times New Roman" w:hAnsi="Times New Roman" w:cs="Times New Roman"/>
          <w:sz w:val="24"/>
          <w:szCs w:val="24"/>
        </w:rPr>
        <w:t>analysis also</w:t>
      </w:r>
      <w:proofErr w:type="gramEnd"/>
      <w:r>
        <w:rPr>
          <w:rFonts w:ascii="Times New Roman" w:eastAsia="Times New Roman" w:hAnsi="Times New Roman" w:cs="Times New Roman"/>
          <w:sz w:val="24"/>
          <w:szCs w:val="24"/>
        </w:rPr>
        <w:t xml:space="preserve"> distinguishes itself in how it looks mainly at internal western actors who have securitized the issue of cybersecurity. They seldom consider how external actors have the ability to harm critical infrastructure. Instead, Hansen and Nissenbaum resort to examining the role of discourse by state and business actors. This can be seen in their analysis of ‘if-then’ </w:t>
      </w:r>
      <w:proofErr w:type="gramStart"/>
      <w:r>
        <w:rPr>
          <w:rFonts w:ascii="Times New Roman" w:eastAsia="Times New Roman" w:hAnsi="Times New Roman" w:cs="Times New Roman"/>
          <w:sz w:val="24"/>
          <w:szCs w:val="24"/>
        </w:rPr>
        <w:t>rhetoric which</w:t>
      </w:r>
      <w:proofErr w:type="gramEnd"/>
      <w:r>
        <w:rPr>
          <w:rFonts w:ascii="Times New Roman" w:eastAsia="Times New Roman" w:hAnsi="Times New Roman" w:cs="Times New Roman"/>
          <w:sz w:val="24"/>
          <w:szCs w:val="24"/>
        </w:rPr>
        <w:t xml:space="preserve"> is used to justify increased critical infrastructure securitization (Hansen &amp; Nissenbaum, 2009).</w:t>
      </w:r>
    </w:p>
    <w:p w:rsidR="00C30C8B" w:rsidRDefault="001E516C">
      <w:pP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Analysis</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concept and common use of cybersecurity was originally introduced in the early 1990s by computer scientists to illustrate potential risks associated with using computers (Hansen &amp; Nissenbaum, 2009)</w:t>
      </w:r>
      <w:proofErr w:type="gramEnd"/>
      <w:r>
        <w:rPr>
          <w:rFonts w:ascii="Times New Roman" w:eastAsia="Times New Roman" w:hAnsi="Times New Roman" w:cs="Times New Roman"/>
          <w:sz w:val="24"/>
          <w:szCs w:val="24"/>
        </w:rPr>
        <w:t xml:space="preserve">. They originally referred to it as being ‘computer security’ but that term was later replaced with ‘cybersecurity’ by American politicians, private corporations, and the media (Hansen &amp; Nissenbaum, 2009). The term </w:t>
      </w:r>
      <w:proofErr w:type="gramStart"/>
      <w:r>
        <w:rPr>
          <w:rFonts w:ascii="Times New Roman" w:eastAsia="Times New Roman" w:hAnsi="Times New Roman" w:cs="Times New Roman"/>
          <w:sz w:val="24"/>
          <w:szCs w:val="24"/>
        </w:rPr>
        <w:t>has been used</w:t>
      </w:r>
      <w:proofErr w:type="gramEnd"/>
      <w:r>
        <w:rPr>
          <w:rFonts w:ascii="Times New Roman" w:eastAsia="Times New Roman" w:hAnsi="Times New Roman" w:cs="Times New Roman"/>
          <w:sz w:val="24"/>
          <w:szCs w:val="24"/>
        </w:rPr>
        <w:t xml:space="preserve"> to reference attaining a state of security in relation to electronic networks, hardware, software, and critical infrastructure but is instead indicative of securitization within the context of this paper. Many of these actors warned of “weapons of mass disruption” (Hansen &amp; Nissenbaum, 2009, p. 1155) and future “electronic Pearl Harbors” (Hansen &amp; Nissenbaum, 2009, p. 1155) to legitimize the use of computers as a security issue. Following 9/11, there has been increased attention into potential cyber-vulnerabilities in </w:t>
      </w:r>
      <w:r>
        <w:rPr>
          <w:rFonts w:ascii="Times New Roman" w:eastAsia="Times New Roman" w:hAnsi="Times New Roman" w:cs="Times New Roman"/>
          <w:sz w:val="24"/>
          <w:szCs w:val="24"/>
        </w:rPr>
        <w:lastRenderedPageBreak/>
        <w:t xml:space="preserve">networks and critical infrastructure. Examples of discourses surrounding state-sponsored hackers, cyber-terrorism, and the securitization of Huawei have increased in relevancy since 9/11 and </w:t>
      </w:r>
      <w:proofErr w:type="gramStart"/>
      <w:r>
        <w:rPr>
          <w:rFonts w:ascii="Times New Roman" w:eastAsia="Times New Roman" w:hAnsi="Times New Roman" w:cs="Times New Roman"/>
          <w:sz w:val="24"/>
          <w:szCs w:val="24"/>
        </w:rPr>
        <w:t>will be used</w:t>
      </w:r>
      <w:proofErr w:type="gramEnd"/>
      <w:r>
        <w:rPr>
          <w:rFonts w:ascii="Times New Roman" w:eastAsia="Times New Roman" w:hAnsi="Times New Roman" w:cs="Times New Roman"/>
          <w:sz w:val="24"/>
          <w:szCs w:val="24"/>
        </w:rPr>
        <w:t xml:space="preserve"> to further establish the securization of Canada’s critical infrastructure.</w:t>
      </w:r>
    </w:p>
    <w:p w:rsidR="00C30C8B" w:rsidRDefault="001E516C">
      <w:pPr>
        <w:shd w:val="clear" w:color="auto" w:fill="FFFFFF"/>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Cyber-Terrorism</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Cyber-terrorists can be defined as non-state </w:t>
      </w:r>
      <w:proofErr w:type="gramStart"/>
      <w:r>
        <w:rPr>
          <w:rFonts w:ascii="Times New Roman" w:eastAsia="Times New Roman" w:hAnsi="Times New Roman" w:cs="Times New Roman"/>
          <w:sz w:val="24"/>
          <w:szCs w:val="24"/>
        </w:rPr>
        <w:t>actors which</w:t>
      </w:r>
      <w:proofErr w:type="gramEnd"/>
      <w:r>
        <w:rPr>
          <w:rFonts w:ascii="Times New Roman" w:eastAsia="Times New Roman" w:hAnsi="Times New Roman" w:cs="Times New Roman"/>
          <w:sz w:val="24"/>
          <w:szCs w:val="24"/>
        </w:rPr>
        <w:t xml:space="preserve"> threaten existing networks, hardware, software, or critical infrastructure.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focus on terrorist threats in recent years by governments and media organizations, discourse relating to cyber-terrorists has led in-part to the characterization of critical infrastructure as a national security concern.</w:t>
      </w:r>
      <w:r w:rsidR="007F459E">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Cyber-terrorism attempts against Canada have existed before the late 2000s but received increased attention by Canadian Prime Minister Stephen Harper. In 2010, Stephen Harper had Governor General Michaëlle Jean deliver his throne speech in the senate chamber (Canadian Governor General, 2010). In this </w:t>
      </w:r>
      <w:proofErr w:type="gramStart"/>
      <w:r>
        <w:rPr>
          <w:rFonts w:ascii="Times New Roman" w:eastAsia="Times New Roman" w:hAnsi="Times New Roman" w:cs="Times New Roman"/>
          <w:sz w:val="24"/>
          <w:szCs w:val="24"/>
        </w:rPr>
        <w:t>speech</w:t>
      </w:r>
      <w:proofErr w:type="gramEnd"/>
      <w:r>
        <w:rPr>
          <w:rFonts w:ascii="Times New Roman" w:eastAsia="Times New Roman" w:hAnsi="Times New Roman" w:cs="Times New Roman"/>
          <w:sz w:val="24"/>
          <w:szCs w:val="24"/>
        </w:rPr>
        <w:t xml:space="preserve"> he described how terrorists threatened the country’s national security and were “real, significant, and shifting threats” (Canadian Governor General, 2010, p. 14).</w:t>
      </w:r>
      <w:r>
        <w:rPr>
          <w:rFonts w:ascii="Times New Roman" w:eastAsia="Times New Roman" w:hAnsi="Times New Roman" w:cs="Times New Roman"/>
          <w:sz w:val="24"/>
          <w:szCs w:val="24"/>
          <w:vertAlign w:val="superscript"/>
        </w:rPr>
        <w:t> </w:t>
      </w:r>
      <w:r>
        <w:rPr>
          <w:rFonts w:ascii="Times New Roman" w:eastAsia="Times New Roman" w:hAnsi="Times New Roman" w:cs="Times New Roman"/>
          <w:sz w:val="24"/>
          <w:szCs w:val="24"/>
        </w:rPr>
        <w:t>He stressed the importance of enacting legislation that would protect infrastructure from terrorists (Canadian Governor General, 2010). Two years later, then-US Defense Secretary Leon Panetta warned that vulnerabilities in American critical infrastructure could allow extremist groups to derail trains, contaminate water supplies, and shutdown power grids (Kenney, 2015). He explained that such an attack could lead to a “cyber Pearl Harbour” (Kenney, 2015, p. 111).</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Stephen Harper’s throne speech, his government released the first ever </w:t>
      </w:r>
      <w:r>
        <w:rPr>
          <w:rFonts w:ascii="Times New Roman" w:eastAsia="Times New Roman" w:hAnsi="Times New Roman" w:cs="Times New Roman"/>
          <w:i/>
          <w:sz w:val="24"/>
          <w:szCs w:val="24"/>
        </w:rPr>
        <w:t>Cyber Security Strategy </w:t>
      </w:r>
      <w:r>
        <w:rPr>
          <w:rFonts w:ascii="Times New Roman" w:eastAsia="Times New Roman" w:hAnsi="Times New Roman" w:cs="Times New Roman"/>
          <w:sz w:val="24"/>
          <w:szCs w:val="24"/>
        </w:rPr>
        <w:t>(Public Safety Canada, 2018)</w:t>
      </w:r>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In 2018, Justin Trudeau’s liberal government enacted the updated </w:t>
      </w:r>
      <w:r>
        <w:rPr>
          <w:rFonts w:ascii="Times New Roman" w:eastAsia="Times New Roman" w:hAnsi="Times New Roman" w:cs="Times New Roman"/>
          <w:i/>
          <w:sz w:val="24"/>
          <w:szCs w:val="24"/>
        </w:rPr>
        <w:t>National Cyber Security Strategy </w:t>
      </w:r>
      <w:r>
        <w:rPr>
          <w:rFonts w:ascii="Times New Roman" w:eastAsia="Times New Roman" w:hAnsi="Times New Roman" w:cs="Times New Roman"/>
          <w:sz w:val="24"/>
          <w:szCs w:val="24"/>
        </w:rPr>
        <w:t>which addressed issues of “[criminals] and other malicious cyber threat actors” (Public Safety Canada, 2018, p. 2) and warned of how they “disrupt and sometimes destroy the infrastructure that we rely on for essential services and our way of life” (Public Safety Canada, 2018, p. 2).</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These speech acts and enactments of policy demonstrate a successful portrayal of critical infrastructure as a referent object. This comes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portraying cyber-terrorism as a national security concern. The use of Leon Panetta’s ‘if-then’ narrative contributed to securitizing critical infrastructure as something in need of additional state protection due to possible threats. The prominence of cybersecurity and critical infrastructure within the federal government and department of Public Safety Canada is indicative of a causal relationship between this use of speculative discourse and eventual construction of cyber issues as security problems.</w:t>
      </w:r>
    </w:p>
    <w:p w:rsidR="00C30C8B" w:rsidRDefault="001E516C">
      <w:pPr>
        <w:shd w:val="clear" w:color="auto" w:fill="FFFFFF"/>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State-Sponsored Hackers</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State-sponsored hackers can be defined as computer </w:t>
      </w:r>
      <w:proofErr w:type="gramStart"/>
      <w:r>
        <w:rPr>
          <w:rFonts w:ascii="Times New Roman" w:eastAsia="Times New Roman" w:hAnsi="Times New Roman" w:cs="Times New Roman"/>
          <w:sz w:val="24"/>
          <w:szCs w:val="24"/>
        </w:rPr>
        <w:t>experts which</w:t>
      </w:r>
      <w:proofErr w:type="gramEnd"/>
      <w:r>
        <w:rPr>
          <w:rFonts w:ascii="Times New Roman" w:eastAsia="Times New Roman" w:hAnsi="Times New Roman" w:cs="Times New Roman"/>
          <w:sz w:val="24"/>
          <w:szCs w:val="24"/>
        </w:rPr>
        <w:t xml:space="preserve"> act on behalf of a state to accomplish political interests through technological means. They present relevance as they </w:t>
      </w:r>
      <w:proofErr w:type="gramStart"/>
      <w:r>
        <w:rPr>
          <w:rFonts w:ascii="Times New Roman" w:eastAsia="Times New Roman" w:hAnsi="Times New Roman" w:cs="Times New Roman"/>
          <w:sz w:val="24"/>
          <w:szCs w:val="24"/>
        </w:rPr>
        <w:t>are often presented</w:t>
      </w:r>
      <w:proofErr w:type="gramEnd"/>
      <w:r>
        <w:rPr>
          <w:rFonts w:ascii="Times New Roman" w:eastAsia="Times New Roman" w:hAnsi="Times New Roman" w:cs="Times New Roman"/>
          <w:sz w:val="24"/>
          <w:szCs w:val="24"/>
        </w:rPr>
        <w:t xml:space="preserve"> as threats to critical infrastructure by foreign states. The usage of state-sponsored hackers has become a prevalent practice in recent decades with prominent campaigns such as Shady RAT, Red October, Flame, PRISM, Sony Pictures, and Stuxnet (Nguyen, 2015). Although these respective campaigns experienced securitizing discourse in response, recent use of state-sponsored hackers in western elections remain a current example of state-sponsored hacking.</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recent election interference by Russian state-hackers in the 2016 Brexit referendum, the 2016 American presidential election, and the 2017 French presidential election, there was increased attention by the media and politicians on state-sponsored hackers and their ability to interfere in foreign elections (Sanchez, 2018; Vincent, 2017). Following election interference, affected state governments, with the exception of the Trump Administration, agreed to cooperate with intelligence and security services (Sanchez, 2018). Security and intelligence agencies, including the NSA, have confirmed that Russian state-hackers affected foreign elections and that there should be increased protections in place to secure future elections (Sanchez, 2018).</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Following this recent interference, many actors have speculated on possible interference in Canadian elections. Former NATO researcher, Janis Sarts, warned of possible attempts by state-sponsored hackers to affect Canada’s electoral process (Blanchfield, 2018). He has conducted interviews and testified before the US Senate intelligence committee (Blanchfield, 2019). </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use of speech acts and media attention has led to increased funding towards cybersecurity. Before major election interference, the 2015 Canadian budget allocated 58 million dollars over five years to “protect the Government of Canada’s essential cyber systems and critical infrastructure against cyber attacks.” (Government of Canada, 2015, par. 7). An additional 36.4 million dollars </w:t>
      </w:r>
      <w:proofErr w:type="gramStart"/>
      <w:r>
        <w:rPr>
          <w:rFonts w:ascii="Times New Roman" w:eastAsia="Times New Roman" w:hAnsi="Times New Roman" w:cs="Times New Roman"/>
          <w:sz w:val="24"/>
          <w:szCs w:val="24"/>
        </w:rPr>
        <w:t>was allocated</w:t>
      </w:r>
      <w:proofErr w:type="gramEnd"/>
      <w:r>
        <w:rPr>
          <w:rFonts w:ascii="Times New Roman" w:eastAsia="Times New Roman" w:hAnsi="Times New Roman" w:cs="Times New Roman"/>
          <w:sz w:val="24"/>
          <w:szCs w:val="24"/>
        </w:rPr>
        <w:t xml:space="preserve"> to operators of cyber systems (Government of Canada, 2015). In the 2018 Canadian budget, funding </w:t>
      </w:r>
      <w:proofErr w:type="gramStart"/>
      <w:r>
        <w:rPr>
          <w:rFonts w:ascii="Times New Roman" w:eastAsia="Times New Roman" w:hAnsi="Times New Roman" w:cs="Times New Roman"/>
          <w:sz w:val="24"/>
          <w:szCs w:val="24"/>
        </w:rPr>
        <w:t>was drastically increased</w:t>
      </w:r>
      <w:proofErr w:type="gramEnd"/>
      <w:r>
        <w:rPr>
          <w:rFonts w:ascii="Times New Roman" w:eastAsia="Times New Roman" w:hAnsi="Times New Roman" w:cs="Times New Roman"/>
          <w:sz w:val="24"/>
          <w:szCs w:val="24"/>
        </w:rPr>
        <w:t xml:space="preserve"> with 507.7 million dollars being allocated towards cybersecurity (Department of Finance, 2018). This demonstrates a relative increase of 413 million dollars of variation between respective budgets since election interference.</w:t>
      </w:r>
    </w:p>
    <w:p w:rsidR="00C30C8B" w:rsidRDefault="001E516C">
      <w:pPr>
        <w:shd w:val="clear" w:color="auto" w:fill="FFFFFF"/>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These speech acts and other forms of speculative security logic have successfully characterized issues of cybersecurity and critical infrastructure as national security concerns. Speculative security discourse has justified additional state involvement and emergency measures, as seen in Canada’s budget in 2018. External cases of state-sponsored hacking in other states </w:t>
      </w:r>
      <w:proofErr w:type="gramStart"/>
      <w:r>
        <w:rPr>
          <w:rFonts w:ascii="Times New Roman" w:eastAsia="Times New Roman" w:hAnsi="Times New Roman" w:cs="Times New Roman"/>
          <w:sz w:val="24"/>
          <w:szCs w:val="24"/>
        </w:rPr>
        <w:t>have been used</w:t>
      </w:r>
      <w:proofErr w:type="gramEnd"/>
      <w:r>
        <w:rPr>
          <w:rFonts w:ascii="Times New Roman" w:eastAsia="Times New Roman" w:hAnsi="Times New Roman" w:cs="Times New Roman"/>
          <w:sz w:val="24"/>
          <w:szCs w:val="24"/>
        </w:rPr>
        <w:t xml:space="preserve"> to justify action taken by the Canadian state to securitize critical infrastructure as the result of hypothetical rhetoric and analysis.</w:t>
      </w:r>
    </w:p>
    <w:p w:rsidR="00C30C8B" w:rsidRDefault="001E516C">
      <w:pPr>
        <w:shd w:val="clear" w:color="auto" w:fill="FFFFFF"/>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Huawei</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Securitization of the company Huawei as a national security concern has arisen over recent years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its expansion into western markets and proposals to build 5G networks in Canada and other countries. Huawei is a Chinese tech company which specializes in both software and hardware development. 5G stands for fifth edition cellular network technology and its development would upgrade current critical infrastructure to accommodate faster wireless speeds. </w:t>
      </w:r>
      <w:r>
        <w:rPr>
          <w:rFonts w:ascii="Times New Roman" w:eastAsia="Times New Roman" w:hAnsi="Times New Roman" w:cs="Times New Roman"/>
          <w:sz w:val="24"/>
          <w:szCs w:val="24"/>
        </w:rPr>
        <w:lastRenderedPageBreak/>
        <w:t xml:space="preserve">As implementation of a 5G network in Canada would allow Huawei to have direct access to the Canada’s critical infrastructure, US intelligence officials and politicians have warned about risks associated with using the company’s technology (Braga, 2019). This stems from allegations that the company is too close with the Chinese state and that the company could leak classified intelligence travelling through the infrastructure. The United States government has banned Huawei from the country and has accused the company of bank and wire fraud, obstructing justice, and conspiring to steal trade secrets (Braga, 2019). US Secretary of State, Mike Pompeo, has warned that states that allow Huawei to integrate technology into their critical infrastructure </w:t>
      </w:r>
      <w:proofErr w:type="gramStart"/>
      <w:r>
        <w:rPr>
          <w:rFonts w:ascii="Times New Roman" w:eastAsia="Times New Roman" w:hAnsi="Times New Roman" w:cs="Times New Roman"/>
          <w:sz w:val="24"/>
          <w:szCs w:val="24"/>
        </w:rPr>
        <w:t>will not be permitted</w:t>
      </w:r>
      <w:proofErr w:type="gramEnd"/>
      <w:r>
        <w:rPr>
          <w:rFonts w:ascii="Times New Roman" w:eastAsia="Times New Roman" w:hAnsi="Times New Roman" w:cs="Times New Roman"/>
          <w:sz w:val="24"/>
          <w:szCs w:val="24"/>
        </w:rPr>
        <w:t xml:space="preserve"> to access American classified information (Harnik, 2019). This warning threatens the existence of the Five Eyes intelligence alliance. At the end of 2018 and beginning of 2019, many telecom companies internationally announced that they </w:t>
      </w:r>
      <w:proofErr w:type="gramStart"/>
      <w:r>
        <w:rPr>
          <w:rFonts w:ascii="Times New Roman" w:eastAsia="Times New Roman" w:hAnsi="Times New Roman" w:cs="Times New Roman"/>
          <w:sz w:val="24"/>
          <w:szCs w:val="24"/>
        </w:rPr>
        <w:t>will</w:t>
      </w:r>
      <w:proofErr w:type="gramEnd"/>
      <w:r>
        <w:rPr>
          <w:rFonts w:ascii="Times New Roman" w:eastAsia="Times New Roman" w:hAnsi="Times New Roman" w:cs="Times New Roman"/>
          <w:sz w:val="24"/>
          <w:szCs w:val="24"/>
        </w:rPr>
        <w:t xml:space="preserve"> not utilize Huawei technology in their telecommunications infrastructure (Braga, 2019).</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it currently stands, the Canadian state has not banned Huawei from implementing 5G technology in Canadian critical infrastructure. It should also be noted that experts have speculated that the Canadian government has delayed banning the network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recent tensions between the Canadian and Chinese states internationally (Wingrove, 2019). Although additional action by the Canadian state has not yet been taken to ban the company, international narratives and bans have already justified taking such action as a national security concern. The basis for banning Huawei through the justification of national security is already justified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the ban by the United States and the discourse maintained by Secretary of State Mike Pompeo. Policy and speech acts by predominantly outside actors have justified emergency measures that </w:t>
      </w:r>
      <w:proofErr w:type="gramStart"/>
      <w:r>
        <w:rPr>
          <w:rFonts w:ascii="Times New Roman" w:eastAsia="Times New Roman" w:hAnsi="Times New Roman" w:cs="Times New Roman"/>
          <w:sz w:val="24"/>
          <w:szCs w:val="24"/>
        </w:rPr>
        <w:t>can be used</w:t>
      </w:r>
      <w:proofErr w:type="gramEnd"/>
      <w:r>
        <w:rPr>
          <w:rFonts w:ascii="Times New Roman" w:eastAsia="Times New Roman" w:hAnsi="Times New Roman" w:cs="Times New Roman"/>
          <w:sz w:val="24"/>
          <w:szCs w:val="24"/>
        </w:rPr>
        <w:t xml:space="preserve"> to protect Canadian critical infrastructure networks in a similar manner to measures already taken by other states.</w:t>
      </w:r>
    </w:p>
    <w:p w:rsidR="001E516C" w:rsidRDefault="001E516C">
      <w:pPr>
        <w:shd w:val="clear" w:color="auto" w:fill="FFFFFF"/>
        <w:spacing w:line="480" w:lineRule="auto"/>
        <w:jc w:val="both"/>
        <w:rPr>
          <w:rFonts w:ascii="Times New Roman" w:eastAsia="Times New Roman" w:hAnsi="Times New Roman" w:cs="Times New Roman"/>
          <w:sz w:val="24"/>
          <w:szCs w:val="24"/>
        </w:rPr>
      </w:pPr>
    </w:p>
    <w:p w:rsidR="00C30C8B" w:rsidRDefault="001E516C">
      <w:pP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Conclusion and Further Study</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finds that,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discourse and speech acts surrounding cyber-terrorism, state-sponsored hackers, and Huawei, Canada’s critical infrastructure has been consequently securitized and characterized as an issue concerning national security. This is evident through Canadian government reports, budget spending, and discourse. The characterization of critical infrastructure as a national security concern comes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anticipatory rhetoric which use “if-then” statements as justification for improved protections. As cyber-terrorism, state-sponsored hackers, and Huawei have been identified as legitimate threats to critical infrastructure, Canada’s critical infrastructure is now recognized as </w:t>
      </w:r>
      <w:proofErr w:type="gramStart"/>
      <w:r>
        <w:rPr>
          <w:rFonts w:ascii="Times New Roman" w:eastAsia="Times New Roman" w:hAnsi="Times New Roman" w:cs="Times New Roman"/>
          <w:sz w:val="24"/>
          <w:szCs w:val="24"/>
        </w:rPr>
        <w:t>something which</w:t>
      </w:r>
      <w:proofErr w:type="gramEnd"/>
      <w:r>
        <w:rPr>
          <w:rFonts w:ascii="Times New Roman" w:eastAsia="Times New Roman" w:hAnsi="Times New Roman" w:cs="Times New Roman"/>
          <w:sz w:val="24"/>
          <w:szCs w:val="24"/>
        </w:rPr>
        <w:t xml:space="preserve"> requires additional state protection.</w:t>
      </w:r>
    </w:p>
    <w:p w:rsidR="00C30C8B" w:rsidRDefault="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realm of security studies continues to evolve and expand, this insight adds a new perspective on understanding critical infrastructure by utilizing the Copenhagen School through securitization theory. As existing literature has not largely considered securitizing discourse in instances of cyber-terrorism, state-sponsored hackers, and Huawei, this article introduces new </w:t>
      </w:r>
      <w:proofErr w:type="gramStart"/>
      <w:r>
        <w:rPr>
          <w:rFonts w:ascii="Times New Roman" w:eastAsia="Times New Roman" w:hAnsi="Times New Roman" w:cs="Times New Roman"/>
          <w:sz w:val="24"/>
          <w:szCs w:val="24"/>
        </w:rPr>
        <w:t>research which</w:t>
      </w:r>
      <w:proofErr w:type="gramEnd"/>
      <w:r>
        <w:rPr>
          <w:rFonts w:ascii="Times New Roman" w:eastAsia="Times New Roman" w:hAnsi="Times New Roman" w:cs="Times New Roman"/>
          <w:sz w:val="24"/>
          <w:szCs w:val="24"/>
        </w:rPr>
        <w:t xml:space="preserve"> can continue to be studied and developed.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limitations to the extent of this research, there are many areas of critical infrastructure which can be expanded in increased detail. Although the research presented in this paper justifies how </w:t>
      </w:r>
      <w:proofErr w:type="gramStart"/>
      <w:r>
        <w:rPr>
          <w:rFonts w:ascii="Times New Roman" w:eastAsia="Times New Roman" w:hAnsi="Times New Roman" w:cs="Times New Roman"/>
          <w:sz w:val="24"/>
          <w:szCs w:val="24"/>
        </w:rPr>
        <w:t>Canada’s</w:t>
      </w:r>
      <w:proofErr w:type="gramEnd"/>
      <w:r>
        <w:rPr>
          <w:rFonts w:ascii="Times New Roman" w:eastAsia="Times New Roman" w:hAnsi="Times New Roman" w:cs="Times New Roman"/>
          <w:sz w:val="24"/>
          <w:szCs w:val="24"/>
        </w:rPr>
        <w:t xml:space="preserve"> critical infrastructure has been securitized, it does not go into detail about the political and social consequences of securitizing critical infrastructure as a national security concern.</w:t>
      </w:r>
    </w:p>
    <w:p w:rsidR="00C30C8B" w:rsidRDefault="001E516C" w:rsidP="007F459E">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research should elaborate on the consequences that arise from the securitization of critical infrastructure. As critical infrastructure has been securitized, how does this impact rights and freedoms? As successful securitization of an issue results in its removal from the realm of political debate, the effects of this change </w:t>
      </w:r>
      <w:proofErr w:type="gramStart"/>
      <w:r>
        <w:rPr>
          <w:rFonts w:ascii="Times New Roman" w:eastAsia="Times New Roman" w:hAnsi="Times New Roman" w:cs="Times New Roman"/>
          <w:sz w:val="24"/>
          <w:szCs w:val="24"/>
        </w:rPr>
        <w:t>should be analyzed</w:t>
      </w:r>
      <w:proofErr w:type="gramEnd"/>
      <w:r>
        <w:rPr>
          <w:rFonts w:ascii="Times New Roman" w:eastAsia="Times New Roman" w:hAnsi="Times New Roman" w:cs="Times New Roman"/>
          <w:sz w:val="24"/>
          <w:szCs w:val="24"/>
        </w:rPr>
        <w:t xml:space="preserve"> in further detail. Future research could examine </w:t>
      </w:r>
      <w:proofErr w:type="gramStart"/>
      <w:r>
        <w:rPr>
          <w:rFonts w:ascii="Times New Roman" w:eastAsia="Times New Roman" w:hAnsi="Times New Roman" w:cs="Times New Roman"/>
          <w:sz w:val="24"/>
          <w:szCs w:val="24"/>
        </w:rPr>
        <w:t>the in-depth changes to governmental policy and how these changes in policy have affected political society and future discourse</w:t>
      </w:r>
      <w:proofErr w:type="gramEnd"/>
      <w:r>
        <w:rPr>
          <w:rFonts w:ascii="Times New Roman" w:eastAsia="Times New Roman" w:hAnsi="Times New Roman" w:cs="Times New Roman"/>
          <w:sz w:val="24"/>
          <w:szCs w:val="24"/>
        </w:rPr>
        <w:t xml:space="preserve">. The role of discourse in securitization </w:t>
      </w:r>
      <w:proofErr w:type="gramStart"/>
      <w:r>
        <w:rPr>
          <w:rFonts w:ascii="Times New Roman" w:eastAsia="Times New Roman" w:hAnsi="Times New Roman" w:cs="Times New Roman"/>
          <w:sz w:val="24"/>
          <w:szCs w:val="24"/>
        </w:rPr>
        <w:t xml:space="preserve">should be </w:t>
      </w:r>
      <w:r>
        <w:rPr>
          <w:rFonts w:ascii="Times New Roman" w:eastAsia="Times New Roman" w:hAnsi="Times New Roman" w:cs="Times New Roman"/>
          <w:sz w:val="24"/>
          <w:szCs w:val="24"/>
        </w:rPr>
        <w:lastRenderedPageBreak/>
        <w:t>further researched</w:t>
      </w:r>
      <w:proofErr w:type="gramEnd"/>
      <w:r>
        <w:rPr>
          <w:rFonts w:ascii="Times New Roman" w:eastAsia="Times New Roman" w:hAnsi="Times New Roman" w:cs="Times New Roman"/>
          <w:sz w:val="24"/>
          <w:szCs w:val="24"/>
        </w:rPr>
        <w:t xml:space="preserve"> to better understand which actors benefit from the securitization of critical infrastructure and which actors are negatively affected.</w:t>
      </w:r>
    </w:p>
    <w:p w:rsidR="00C30C8B" w:rsidRDefault="001E516C" w:rsidP="001E516C">
      <w:pPr>
        <w:shd w:val="clear" w:color="auto" w:fill="FFFFFF"/>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 directions of analysis should also consider the effects of the possible westernization of critical infrastructure. Researchers could examine how understanding critical infrastructure as a national security concern has or has not perpetuated existent binaries in security studies. As with any research project, it is necessary to exclude some details. These exclusions provide future possibilities of analysis surrounding the concept of critical infrastructure and cybersecurity that can grow the topic in coming years.</w:t>
      </w:r>
      <w:r>
        <w:rPr>
          <w:rFonts w:ascii="Times New Roman" w:eastAsia="Times New Roman" w:hAnsi="Times New Roman" w:cs="Times New Roman"/>
          <w:sz w:val="24"/>
          <w:szCs w:val="24"/>
        </w:rPr>
        <w:br/>
      </w: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C30C8B">
      <w:pPr>
        <w:shd w:val="clear" w:color="auto" w:fill="FFFFFF"/>
        <w:spacing w:line="480" w:lineRule="auto"/>
        <w:jc w:val="center"/>
        <w:rPr>
          <w:rFonts w:ascii="Times New Roman" w:eastAsia="Times New Roman" w:hAnsi="Times New Roman" w:cs="Times New Roman"/>
          <w:sz w:val="24"/>
          <w:szCs w:val="24"/>
        </w:rPr>
      </w:pPr>
    </w:p>
    <w:p w:rsidR="00C30C8B" w:rsidRDefault="007F459E">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Bibliography</w:t>
      </w:r>
    </w:p>
    <w:p w:rsidR="007F459E" w:rsidRPr="007F459E" w:rsidRDefault="007F459E">
      <w:pPr>
        <w:shd w:val="clear" w:color="auto" w:fill="FFFFFF"/>
        <w:jc w:val="center"/>
        <w:rPr>
          <w:rFonts w:ascii="Times New Roman" w:eastAsia="Times New Roman" w:hAnsi="Times New Roman" w:cs="Times New Roman"/>
          <w:b/>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Blanchfield, M. (2018, February 27). NATO researcher warns of Russian interference in </w:t>
      </w:r>
    </w:p>
    <w:p w:rsidR="00C30C8B" w:rsidRDefault="001E516C">
      <w:pPr>
        <w:shd w:val="clear" w:color="auto" w:fill="FFFFFF"/>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2019 Canadian election. </w:t>
      </w:r>
      <w:r>
        <w:rPr>
          <w:rFonts w:ascii="Times New Roman" w:eastAsia="Times New Roman" w:hAnsi="Times New Roman" w:cs="Times New Roman"/>
          <w:i/>
          <w:sz w:val="24"/>
          <w:szCs w:val="24"/>
        </w:rPr>
        <w:t>Globe and Mail. </w:t>
      </w:r>
      <w:r>
        <w:rPr>
          <w:rFonts w:ascii="Times New Roman" w:eastAsia="Times New Roman" w:hAnsi="Times New Roman" w:cs="Times New Roman"/>
          <w:sz w:val="24"/>
          <w:szCs w:val="24"/>
        </w:rPr>
        <w:t>Retrieved, from </w:t>
      </w:r>
      <w:hyperlink r:id="rId53">
        <w:r>
          <w:rPr>
            <w:rFonts w:ascii="Times New Roman" w:eastAsia="Times New Roman" w:hAnsi="Times New Roman" w:cs="Times New Roman"/>
            <w:sz w:val="24"/>
            <w:szCs w:val="24"/>
          </w:rPr>
          <w:t>https://www.theglobeandmail.com/news/politics/nato-researcher-warns-of-russian-interference-in-2019-canadian-election/article38124979/</w:t>
        </w:r>
      </w:hyperlink>
    </w:p>
    <w:p w:rsidR="00C30C8B" w:rsidRDefault="00C30C8B">
      <w:pPr>
        <w:shd w:val="clear" w:color="auto" w:fill="FFFFFF"/>
        <w:rPr>
          <w:rFonts w:ascii="Times New Roman" w:eastAsia="Times New Roman" w:hAnsi="Times New Roman" w:cs="Times New Roman"/>
          <w:sz w:val="24"/>
          <w:szCs w:val="24"/>
          <w:u w:val="single"/>
        </w:rPr>
      </w:pPr>
    </w:p>
    <w:p w:rsidR="00C30C8B" w:rsidRDefault="001E516C">
      <w:pP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sz w:val="24"/>
          <w:szCs w:val="24"/>
        </w:rPr>
        <w:t>Braga, M. (2019, January 30). If Huawei were a security risk, how would we find out? </w:t>
      </w:r>
      <w:r>
        <w:rPr>
          <w:rFonts w:ascii="Times New Roman" w:eastAsia="Times New Roman" w:hAnsi="Times New Roman" w:cs="Times New Roman"/>
          <w:i/>
          <w:sz w:val="24"/>
          <w:szCs w:val="24"/>
        </w:rPr>
        <w:t xml:space="preserve">CBC </w:t>
      </w: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i/>
          <w:sz w:val="24"/>
          <w:szCs w:val="24"/>
        </w:rPr>
        <w:t>News. </w:t>
      </w:r>
      <w:r>
        <w:rPr>
          <w:rFonts w:ascii="Times New Roman" w:eastAsia="Times New Roman" w:hAnsi="Times New Roman" w:cs="Times New Roman"/>
          <w:sz w:val="24"/>
          <w:szCs w:val="24"/>
        </w:rPr>
        <w:t>Retrieved from </w:t>
      </w:r>
      <w:hyperlink r:id="rId54">
        <w:r>
          <w:rPr>
            <w:rFonts w:ascii="Times New Roman" w:eastAsia="Times New Roman" w:hAnsi="Times New Roman" w:cs="Times New Roman"/>
            <w:sz w:val="24"/>
            <w:szCs w:val="24"/>
          </w:rPr>
          <w:t>https://www.cbc.ca/news/technology/huawei-5g-security-testing-vulnerabilities-risks-proof-ban-1.4997957</w:t>
        </w:r>
      </w:hyperlink>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Canadian Governor General. (2010). </w:t>
      </w:r>
      <w:r>
        <w:rPr>
          <w:rFonts w:ascii="Times New Roman" w:eastAsia="Times New Roman" w:hAnsi="Times New Roman" w:cs="Times New Roman"/>
          <w:i/>
          <w:sz w:val="24"/>
          <w:szCs w:val="24"/>
        </w:rPr>
        <w:t>Speech from the Throne</w:t>
      </w:r>
      <w:r>
        <w:rPr>
          <w:rFonts w:ascii="Times New Roman" w:eastAsia="Times New Roman" w:hAnsi="Times New Roman" w:cs="Times New Roman"/>
          <w:sz w:val="24"/>
          <w:szCs w:val="24"/>
        </w:rPr>
        <w:t xml:space="preserve">. Retrieved </w:t>
      </w:r>
    </w:p>
    <w:p w:rsidR="00C30C8B" w:rsidRDefault="001E516C">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w:t>
      </w:r>
      <w:hyperlink r:id="rId55">
        <w:r>
          <w:rPr>
            <w:rFonts w:ascii="Times New Roman" w:eastAsia="Times New Roman" w:hAnsi="Times New Roman" w:cs="Times New Roman"/>
            <w:sz w:val="24"/>
            <w:szCs w:val="24"/>
          </w:rPr>
          <w:t>http://publications.gc.ca/collections/collection_2010/bcp-pco/SO1-1-2010-eng.pdf</w:t>
        </w:r>
      </w:hyperlink>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Cox, J. (2012, December 18). Canada and the five eyes intelligence community. Retrieved </w:t>
      </w:r>
    </w:p>
    <w:p w:rsidR="00C30C8B" w:rsidRDefault="001E516C">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w:t>
      </w:r>
      <w:hyperlink r:id="rId56">
        <w:r>
          <w:rPr>
            <w:rFonts w:ascii="Times New Roman" w:eastAsia="Times New Roman" w:hAnsi="Times New Roman" w:cs="Times New Roman"/>
            <w:sz w:val="24"/>
            <w:szCs w:val="24"/>
          </w:rPr>
          <w:t>http://citeseerx.ist.psu.edu/viewdoc/download?doi=10.1.1.357.5576&amp;rep=rep1&amp;type=pdf</w:t>
        </w:r>
      </w:hyperlink>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Finance. (2018). Equality growth: A strong middle class. Retrieved </w:t>
      </w:r>
    </w:p>
    <w:p w:rsidR="00C30C8B" w:rsidRDefault="001E516C">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w:t>
      </w:r>
      <w:hyperlink r:id="rId57">
        <w:r>
          <w:rPr>
            <w:rFonts w:ascii="Times New Roman" w:eastAsia="Times New Roman" w:hAnsi="Times New Roman" w:cs="Times New Roman"/>
            <w:sz w:val="24"/>
            <w:szCs w:val="24"/>
          </w:rPr>
          <w:t>https://www.budget.gc.ca/2018/docs/plan/budget-2018-en.pdf</w:t>
        </w:r>
      </w:hyperlink>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bookmarkStart w:id="2" w:name="_3ixzibg63ilw" w:colFirst="0" w:colLast="0"/>
      <w:bookmarkEnd w:id="2"/>
      <w:r>
        <w:rPr>
          <w:rFonts w:ascii="Times New Roman" w:eastAsia="Times New Roman" w:hAnsi="Times New Roman" w:cs="Times New Roman"/>
          <w:sz w:val="24"/>
          <w:szCs w:val="24"/>
        </w:rPr>
        <w:t xml:space="preserve">Government of Canada. (2015). Protecting Canadians. Retrieved </w:t>
      </w:r>
    </w:p>
    <w:p w:rsidR="00C30C8B" w:rsidRDefault="001E516C">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w:t>
      </w:r>
      <w:hyperlink r:id="rId58">
        <w:r>
          <w:rPr>
            <w:rFonts w:ascii="Times New Roman" w:eastAsia="Times New Roman" w:hAnsi="Times New Roman" w:cs="Times New Roman"/>
            <w:sz w:val="24"/>
            <w:szCs w:val="24"/>
          </w:rPr>
          <w:t>https://www.budget.gc.ca/2015/docs/plan/ch4-3-eng.html</w:t>
        </w:r>
      </w:hyperlink>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Hansen, L., &amp; Nissenbaum, H. (2009). Digital disaster, cyber security, and the Copenhagen </w:t>
      </w: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School. </w:t>
      </w:r>
      <w:r>
        <w:rPr>
          <w:rFonts w:ascii="Times New Roman" w:eastAsia="Times New Roman" w:hAnsi="Times New Roman" w:cs="Times New Roman"/>
          <w:i/>
          <w:sz w:val="24"/>
          <w:szCs w:val="24"/>
        </w:rPr>
        <w:t>International Studies Quarterly,</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53</w:t>
      </w:r>
      <w:r>
        <w:rPr>
          <w:rFonts w:ascii="Times New Roman" w:eastAsia="Times New Roman" w:hAnsi="Times New Roman" w:cs="Times New Roman"/>
          <w:sz w:val="24"/>
          <w:szCs w:val="24"/>
        </w:rPr>
        <w:t xml:space="preserve">(4), 1155-1175.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10.1111/j.1468-2478.2009.00572.x</w:t>
      </w:r>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Harnik, A. (2019, February 21). Mike Pompeo says U.S. </w:t>
      </w:r>
      <w:proofErr w:type="gramStart"/>
      <w:r>
        <w:rPr>
          <w:rFonts w:ascii="Times New Roman" w:eastAsia="Times New Roman" w:hAnsi="Times New Roman" w:cs="Times New Roman"/>
          <w:sz w:val="24"/>
          <w:szCs w:val="24"/>
        </w:rPr>
        <w:t>won’t</w:t>
      </w:r>
      <w:proofErr w:type="gramEnd"/>
      <w:r>
        <w:rPr>
          <w:rFonts w:ascii="Times New Roman" w:eastAsia="Times New Roman" w:hAnsi="Times New Roman" w:cs="Times New Roman"/>
          <w:sz w:val="24"/>
          <w:szCs w:val="24"/>
        </w:rPr>
        <w:t xml:space="preserve"> partner with countries that use </w:t>
      </w:r>
    </w:p>
    <w:p w:rsidR="00C30C8B" w:rsidRDefault="001E516C">
      <w:pPr>
        <w:shd w:val="clear" w:color="auto" w:fill="FFFFFF"/>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Huawei systems. </w:t>
      </w:r>
      <w:r>
        <w:rPr>
          <w:rFonts w:ascii="Times New Roman" w:eastAsia="Times New Roman" w:hAnsi="Times New Roman" w:cs="Times New Roman"/>
          <w:i/>
          <w:sz w:val="24"/>
          <w:szCs w:val="24"/>
        </w:rPr>
        <w:t>Globe and Mail</w:t>
      </w:r>
      <w:r>
        <w:rPr>
          <w:rFonts w:ascii="Times New Roman" w:eastAsia="Times New Roman" w:hAnsi="Times New Roman" w:cs="Times New Roman"/>
          <w:sz w:val="24"/>
          <w:szCs w:val="24"/>
        </w:rPr>
        <w:t>. Retrieved from </w:t>
      </w:r>
      <w:hyperlink r:id="rId59">
        <w:r>
          <w:rPr>
            <w:rFonts w:ascii="Times New Roman" w:eastAsia="Times New Roman" w:hAnsi="Times New Roman" w:cs="Times New Roman"/>
            <w:sz w:val="24"/>
            <w:szCs w:val="24"/>
          </w:rPr>
          <w:t>https://www.theglobeandmail.com/business/international-business/us-business/article-mike-pompeo-says-us-wont-partner-with-countries-that-use-huawei/</w:t>
        </w:r>
      </w:hyperlink>
    </w:p>
    <w:p w:rsidR="00C30C8B" w:rsidRDefault="00C30C8B">
      <w:pPr>
        <w:shd w:val="clear" w:color="auto" w:fill="FFFFFF"/>
        <w:rPr>
          <w:rFonts w:ascii="Times New Roman" w:eastAsia="Times New Roman" w:hAnsi="Times New Roman" w:cs="Times New Roman"/>
          <w:sz w:val="24"/>
          <w:szCs w:val="24"/>
          <w:u w:val="single"/>
        </w:rPr>
      </w:pPr>
    </w:p>
    <w:p w:rsidR="00C30C8B" w:rsidRPr="001E516C" w:rsidRDefault="001E516C">
      <w:pPr>
        <w:shd w:val="clear" w:color="auto" w:fill="FFFFFF"/>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rPr>
        <w:t>Kenney, M. (2015). Cyber-terrorism in a post-stuxnet world. </w:t>
      </w:r>
      <w:r w:rsidRPr="001E516C">
        <w:rPr>
          <w:rFonts w:ascii="Times New Roman" w:eastAsia="Times New Roman" w:hAnsi="Times New Roman" w:cs="Times New Roman"/>
          <w:i/>
          <w:sz w:val="24"/>
          <w:szCs w:val="24"/>
          <w:lang w:val="de-DE"/>
        </w:rPr>
        <w:t>Orbis,</w:t>
      </w:r>
      <w:r w:rsidRPr="001E516C">
        <w:rPr>
          <w:rFonts w:ascii="Times New Roman" w:eastAsia="Times New Roman" w:hAnsi="Times New Roman" w:cs="Times New Roman"/>
          <w:sz w:val="24"/>
          <w:szCs w:val="24"/>
          <w:lang w:val="de-DE"/>
        </w:rPr>
        <w:t> </w:t>
      </w:r>
      <w:r w:rsidRPr="001E516C">
        <w:rPr>
          <w:rFonts w:ascii="Times New Roman" w:eastAsia="Times New Roman" w:hAnsi="Times New Roman" w:cs="Times New Roman"/>
          <w:i/>
          <w:sz w:val="24"/>
          <w:szCs w:val="24"/>
          <w:lang w:val="de-DE"/>
        </w:rPr>
        <w:t>59</w:t>
      </w:r>
      <w:r w:rsidRPr="001E516C">
        <w:rPr>
          <w:rFonts w:ascii="Times New Roman" w:eastAsia="Times New Roman" w:hAnsi="Times New Roman" w:cs="Times New Roman"/>
          <w:sz w:val="24"/>
          <w:szCs w:val="24"/>
          <w:lang w:val="de-DE"/>
        </w:rPr>
        <w:t xml:space="preserve">(1), 111-128. doi: </w:t>
      </w:r>
    </w:p>
    <w:p w:rsidR="00C30C8B" w:rsidRPr="001E516C" w:rsidRDefault="001E516C">
      <w:pPr>
        <w:shd w:val="clear" w:color="auto" w:fill="FFFFFF"/>
        <w:rPr>
          <w:rFonts w:ascii="Times New Roman" w:eastAsia="Times New Roman" w:hAnsi="Times New Roman" w:cs="Times New Roman"/>
          <w:sz w:val="24"/>
          <w:szCs w:val="24"/>
          <w:lang w:val="de-DE"/>
        </w:rPr>
      </w:pPr>
      <w:r w:rsidRPr="001E516C">
        <w:rPr>
          <w:rFonts w:ascii="Times New Roman" w:eastAsia="Times New Roman" w:hAnsi="Times New Roman" w:cs="Times New Roman"/>
          <w:sz w:val="24"/>
          <w:szCs w:val="24"/>
          <w:lang w:val="de-DE"/>
        </w:rPr>
        <w:t>10.1016/j.orbis.2014.11.009</w:t>
      </w:r>
    </w:p>
    <w:p w:rsidR="00C30C8B" w:rsidRPr="001E516C" w:rsidRDefault="00C30C8B">
      <w:pPr>
        <w:shd w:val="clear" w:color="auto" w:fill="FFFFFF"/>
        <w:rPr>
          <w:rFonts w:ascii="Times New Roman" w:eastAsia="Times New Roman" w:hAnsi="Times New Roman" w:cs="Times New Roman"/>
          <w:sz w:val="24"/>
          <w:szCs w:val="24"/>
          <w:lang w:val="de-DE"/>
        </w:rPr>
      </w:pPr>
    </w:p>
    <w:p w:rsidR="00C30C8B" w:rsidRDefault="001E516C">
      <w:pPr>
        <w:shd w:val="clear" w:color="auto" w:fill="FFFFFF"/>
        <w:rPr>
          <w:rFonts w:ascii="Times New Roman" w:eastAsia="Times New Roman" w:hAnsi="Times New Roman" w:cs="Times New Roman"/>
          <w:i/>
          <w:sz w:val="24"/>
          <w:szCs w:val="24"/>
        </w:rPr>
      </w:pPr>
      <w:r w:rsidRPr="001E516C">
        <w:rPr>
          <w:rFonts w:ascii="Times New Roman" w:eastAsia="Times New Roman" w:hAnsi="Times New Roman" w:cs="Times New Roman"/>
          <w:sz w:val="24"/>
          <w:szCs w:val="24"/>
          <w:lang w:val="de-DE"/>
        </w:rPr>
        <w:t>Lewis, T. G. (2006). </w:t>
      </w:r>
      <w:r>
        <w:rPr>
          <w:rFonts w:ascii="Times New Roman" w:eastAsia="Times New Roman" w:hAnsi="Times New Roman" w:cs="Times New Roman"/>
          <w:i/>
          <w:sz w:val="24"/>
          <w:szCs w:val="24"/>
        </w:rPr>
        <w:t xml:space="preserve">Critical infrastructure protection in homeland security: defending a </w:t>
      </w:r>
    </w:p>
    <w:p w:rsidR="00C30C8B" w:rsidRDefault="001E516C">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networked</w:t>
      </w:r>
      <w:proofErr w:type="gramEnd"/>
      <w:r>
        <w:rPr>
          <w:rFonts w:ascii="Times New Roman" w:eastAsia="Times New Roman" w:hAnsi="Times New Roman" w:cs="Times New Roman"/>
          <w:i/>
          <w:sz w:val="24"/>
          <w:szCs w:val="24"/>
        </w:rPr>
        <w:t xml:space="preserve"> nation</w:t>
      </w:r>
      <w:r>
        <w:rPr>
          <w:rFonts w:ascii="Times New Roman" w:eastAsia="Times New Roman" w:hAnsi="Times New Roman" w:cs="Times New Roman"/>
          <w:sz w:val="24"/>
          <w:szCs w:val="24"/>
        </w:rPr>
        <w:t xml:space="preserve">. Hoboken, NJ: John Wiley &amp; Sons.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10.1002/0471789542</w:t>
      </w:r>
    </w:p>
    <w:p w:rsidR="00C30C8B" w:rsidRDefault="00C30C8B">
      <w:pPr>
        <w:shd w:val="clear" w:color="auto" w:fill="FFFFFF"/>
        <w:rPr>
          <w:rFonts w:ascii="Times New Roman" w:eastAsia="Times New Roman" w:hAnsi="Times New Roman" w:cs="Times New Roman"/>
          <w:sz w:val="24"/>
          <w:szCs w:val="24"/>
        </w:rPr>
      </w:pPr>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Nguyen, D. (2015). State sponsored cyber hacking and espionage. </w:t>
      </w:r>
      <w:r>
        <w:rPr>
          <w:rFonts w:ascii="Times New Roman" w:eastAsia="Times New Roman" w:hAnsi="Times New Roman" w:cs="Times New Roman"/>
          <w:i/>
          <w:sz w:val="24"/>
          <w:szCs w:val="24"/>
        </w:rPr>
        <w:t>Infosec Writers</w:t>
      </w:r>
      <w:r>
        <w:rPr>
          <w:rFonts w:ascii="Times New Roman" w:eastAsia="Times New Roman" w:hAnsi="Times New Roman" w:cs="Times New Roman"/>
          <w:sz w:val="24"/>
          <w:szCs w:val="24"/>
        </w:rPr>
        <w:t xml:space="preserve">. Retrieved </w:t>
      </w:r>
    </w:p>
    <w:p w:rsidR="00C30C8B" w:rsidRDefault="001E516C">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from</w:t>
      </w:r>
      <w:proofErr w:type="gramEnd"/>
      <w:r>
        <w:rPr>
          <w:rFonts w:ascii="Times New Roman" w:eastAsia="Times New Roman" w:hAnsi="Times New Roman" w:cs="Times New Roman"/>
          <w:sz w:val="24"/>
          <w:szCs w:val="24"/>
        </w:rPr>
        <w:t> </w:t>
      </w:r>
      <w:hyperlink r:id="rId60">
        <w:r>
          <w:rPr>
            <w:rFonts w:ascii="Times New Roman" w:eastAsia="Times New Roman" w:hAnsi="Times New Roman" w:cs="Times New Roman"/>
            <w:color w:val="0000FF"/>
            <w:sz w:val="24"/>
            <w:szCs w:val="24"/>
            <w:u w:val="single"/>
          </w:rPr>
          <w:t>https://infosecwriters.com/Papers/DNguyen_State_Sponsored_CyberHacking_and_E   spionage.pdf</w:t>
        </w:r>
      </w:hyperlink>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Safety Canada. (2019). Critical infrastructure. Retrieved </w:t>
      </w:r>
    </w:p>
    <w:p w:rsidR="00C30C8B" w:rsidRDefault="001E516C">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w:t>
      </w:r>
      <w:hyperlink r:id="rId61">
        <w:r>
          <w:rPr>
            <w:rFonts w:ascii="Times New Roman" w:eastAsia="Times New Roman" w:hAnsi="Times New Roman" w:cs="Times New Roman"/>
            <w:sz w:val="24"/>
            <w:szCs w:val="24"/>
          </w:rPr>
          <w:t>https://www.publicsafety.gc.ca/cnt/ntnl-scrt/crtcl-nfrstrctr/index-en.aspx</w:t>
        </w:r>
      </w:hyperlink>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Safety Canada. (2018). National cyber security strategy. Retrieved </w:t>
      </w: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hyperlink r:id="rId62">
        <w:r>
          <w:rPr>
            <w:rFonts w:ascii="Times New Roman" w:eastAsia="Times New Roman" w:hAnsi="Times New Roman" w:cs="Times New Roman"/>
            <w:sz w:val="24"/>
            <w:szCs w:val="24"/>
          </w:rPr>
          <w:t>https://www.publicsafety.gc.ca/cnt/rsrcs/pblctns/ntnl-cbr-scrt-strtg/ntnl-cbr-scrt-strtg-    en.pdf</w:t>
        </w:r>
      </w:hyperlink>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Ralston, P., Graham, J., and Hieb, J. (2007). Cyber security risk assessment for SCADA and </w:t>
      </w:r>
    </w:p>
    <w:p w:rsidR="00C30C8B" w:rsidRPr="001E516C" w:rsidRDefault="001E516C">
      <w:pPr>
        <w:shd w:val="clear" w:color="auto" w:fill="FFFFFF"/>
        <w:rPr>
          <w:rFonts w:ascii="Times New Roman" w:eastAsia="Times New Roman" w:hAnsi="Times New Roman" w:cs="Times New Roman"/>
          <w:sz w:val="24"/>
          <w:szCs w:val="24"/>
          <w:lang w:val="fr-FR"/>
        </w:rPr>
      </w:pPr>
      <w:r w:rsidRPr="001E516C">
        <w:rPr>
          <w:rFonts w:ascii="Times New Roman" w:eastAsia="Times New Roman" w:hAnsi="Times New Roman" w:cs="Times New Roman"/>
          <w:sz w:val="24"/>
          <w:szCs w:val="24"/>
          <w:lang w:val="fr-FR"/>
        </w:rPr>
        <w:t>DCS networks. </w:t>
      </w:r>
      <w:r w:rsidRPr="001E516C">
        <w:rPr>
          <w:rFonts w:ascii="Times New Roman" w:eastAsia="Times New Roman" w:hAnsi="Times New Roman" w:cs="Times New Roman"/>
          <w:i/>
          <w:sz w:val="24"/>
          <w:szCs w:val="24"/>
          <w:lang w:val="fr-FR"/>
        </w:rPr>
        <w:t>ISA Transactions,</w:t>
      </w:r>
      <w:r w:rsidRPr="001E516C">
        <w:rPr>
          <w:rFonts w:ascii="Times New Roman" w:eastAsia="Times New Roman" w:hAnsi="Times New Roman" w:cs="Times New Roman"/>
          <w:sz w:val="24"/>
          <w:szCs w:val="24"/>
          <w:lang w:val="fr-FR"/>
        </w:rPr>
        <w:t> </w:t>
      </w:r>
      <w:r w:rsidRPr="001E516C">
        <w:rPr>
          <w:rFonts w:ascii="Times New Roman" w:eastAsia="Times New Roman" w:hAnsi="Times New Roman" w:cs="Times New Roman"/>
          <w:i/>
          <w:sz w:val="24"/>
          <w:szCs w:val="24"/>
          <w:lang w:val="fr-FR"/>
        </w:rPr>
        <w:t>46</w:t>
      </w:r>
      <w:r w:rsidRPr="001E516C">
        <w:rPr>
          <w:rFonts w:ascii="Times New Roman" w:eastAsia="Times New Roman" w:hAnsi="Times New Roman" w:cs="Times New Roman"/>
          <w:sz w:val="24"/>
          <w:szCs w:val="24"/>
          <w:lang w:val="fr-FR"/>
        </w:rPr>
        <w:t xml:space="preserve">(4), 583-594. </w:t>
      </w:r>
      <w:proofErr w:type="gramStart"/>
      <w:r w:rsidRPr="001E516C">
        <w:rPr>
          <w:rFonts w:ascii="Times New Roman" w:eastAsia="Times New Roman" w:hAnsi="Times New Roman" w:cs="Times New Roman"/>
          <w:sz w:val="24"/>
          <w:szCs w:val="24"/>
          <w:lang w:val="fr-FR"/>
        </w:rPr>
        <w:t>doi</w:t>
      </w:r>
      <w:proofErr w:type="gramEnd"/>
      <w:r w:rsidRPr="001E516C">
        <w:rPr>
          <w:rFonts w:ascii="Times New Roman" w:eastAsia="Times New Roman" w:hAnsi="Times New Roman" w:cs="Times New Roman"/>
          <w:sz w:val="24"/>
          <w:szCs w:val="24"/>
          <w:lang w:val="fr-FR"/>
        </w:rPr>
        <w:t>: 10.1016/j.isatra.2007.04.003</w:t>
      </w:r>
    </w:p>
    <w:p w:rsidR="00C30C8B" w:rsidRPr="001E516C" w:rsidRDefault="00C30C8B">
      <w:pPr>
        <w:shd w:val="clear" w:color="auto" w:fill="FFFFFF"/>
        <w:rPr>
          <w:rFonts w:ascii="Times New Roman" w:eastAsia="Times New Roman" w:hAnsi="Times New Roman" w:cs="Times New Roman"/>
          <w:sz w:val="24"/>
          <w:szCs w:val="24"/>
          <w:lang w:val="fr-FR"/>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Roy, S., Ellis, C., Shiva, S., Dasgupta, D., Shandilya, V., &amp; Wu. Q. (2010). A survey of game </w:t>
      </w:r>
    </w:p>
    <w:p w:rsidR="00C30C8B" w:rsidRDefault="001E516C">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theory</w:t>
      </w:r>
      <w:proofErr w:type="gramEnd"/>
      <w:r>
        <w:rPr>
          <w:rFonts w:ascii="Times New Roman" w:eastAsia="Times New Roman" w:hAnsi="Times New Roman" w:cs="Times New Roman"/>
          <w:sz w:val="24"/>
          <w:szCs w:val="24"/>
        </w:rPr>
        <w:t xml:space="preserve"> as applied to network security. In R. H. Sprague (Ed.), </w:t>
      </w:r>
      <w:r>
        <w:rPr>
          <w:rFonts w:ascii="Times New Roman" w:eastAsia="Times New Roman" w:hAnsi="Times New Roman" w:cs="Times New Roman"/>
          <w:i/>
          <w:sz w:val="24"/>
          <w:szCs w:val="24"/>
        </w:rPr>
        <w:t>43rd Hawaii International Conference on System Sciences </w:t>
      </w:r>
      <w:r>
        <w:rPr>
          <w:rFonts w:ascii="Times New Roman" w:eastAsia="Times New Roman" w:hAnsi="Times New Roman" w:cs="Times New Roman"/>
          <w:sz w:val="24"/>
          <w:szCs w:val="24"/>
        </w:rPr>
        <w:t xml:space="preserve">(pp. 1-10). Washington DC: IEEE Computer Society.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1-10. 10.1109/HICSS.2010.35</w:t>
      </w:r>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Sanchez, L. G. (2018). Russian meddling in western elections, 2016-2017: A preliminary probe </w:t>
      </w: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(Master's thesis, Texas State University, San Marcos, Texas). Retrieved from </w:t>
      </w:r>
      <w:hyperlink r:id="rId63">
        <w:r>
          <w:rPr>
            <w:rFonts w:ascii="Times New Roman" w:eastAsia="Times New Roman" w:hAnsi="Times New Roman" w:cs="Times New Roman"/>
            <w:color w:val="1155CC"/>
            <w:sz w:val="24"/>
            <w:szCs w:val="24"/>
            <w:u w:val="single"/>
          </w:rPr>
          <w:t>https://digital1.library.txstate.edu/bitstream/handle/10877/7482/LOPEZSANCHEZ-THESIS-2018.pdf?sequence=1&amp;isAllowed=y</w:t>
        </w:r>
      </w:hyperlink>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Shoebridge, M. (2018). Chinese cyber espionage and the national security risks Huawei poses to </w:t>
      </w:r>
    </w:p>
    <w:p w:rsidR="00C30C8B" w:rsidRDefault="001E516C">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5G</w:t>
      </w:r>
      <w:proofErr w:type="gramEnd"/>
      <w:r>
        <w:rPr>
          <w:rFonts w:ascii="Times New Roman" w:eastAsia="Times New Roman" w:hAnsi="Times New Roman" w:cs="Times New Roman"/>
          <w:sz w:val="24"/>
          <w:szCs w:val="24"/>
        </w:rPr>
        <w:t xml:space="preserve"> networks. </w:t>
      </w:r>
      <w:r>
        <w:rPr>
          <w:rFonts w:ascii="Times New Roman" w:eastAsia="Times New Roman" w:hAnsi="Times New Roman" w:cs="Times New Roman"/>
          <w:i/>
          <w:sz w:val="24"/>
          <w:szCs w:val="24"/>
        </w:rPr>
        <w:t>MacDonald-Laurier Institute Publication</w:t>
      </w:r>
      <w:r>
        <w:rPr>
          <w:rFonts w:ascii="Times New Roman" w:eastAsia="Times New Roman" w:hAnsi="Times New Roman" w:cs="Times New Roman"/>
          <w:sz w:val="24"/>
          <w:szCs w:val="24"/>
        </w:rPr>
        <w:t>. Retrieved from </w:t>
      </w:r>
      <w:hyperlink r:id="rId64">
        <w:r>
          <w:rPr>
            <w:rFonts w:ascii="Times New Roman" w:eastAsia="Times New Roman" w:hAnsi="Times New Roman" w:cs="Times New Roman"/>
            <w:color w:val="1155CC"/>
            <w:sz w:val="24"/>
            <w:szCs w:val="24"/>
            <w:u w:val="single"/>
          </w:rPr>
          <w:t>http://macdonaldlaurier.ca/files/pdf/MLICommentary_Nov2018_Shoebridge_Fweb.pdf</w:t>
        </w:r>
      </w:hyperlink>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i/>
          <w:sz w:val="24"/>
          <w:szCs w:val="24"/>
        </w:rPr>
      </w:pPr>
      <w:r>
        <w:rPr>
          <w:rFonts w:ascii="Times New Roman" w:eastAsia="Times New Roman" w:hAnsi="Times New Roman" w:cs="Times New Roman"/>
          <w:sz w:val="24"/>
          <w:szCs w:val="24"/>
        </w:rPr>
        <w:t>Vincent, A. (2017). State-sponsored hackers: the new normal for business. </w:t>
      </w:r>
      <w:r>
        <w:rPr>
          <w:rFonts w:ascii="Times New Roman" w:eastAsia="Times New Roman" w:hAnsi="Times New Roman" w:cs="Times New Roman"/>
          <w:i/>
          <w:sz w:val="24"/>
          <w:szCs w:val="24"/>
        </w:rPr>
        <w:t xml:space="preserve">Network </w:t>
      </w: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i/>
          <w:sz w:val="24"/>
          <w:szCs w:val="24"/>
        </w:rPr>
        <w:t>Security</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2017</w:t>
      </w:r>
      <w:r>
        <w:rPr>
          <w:rFonts w:ascii="Times New Roman" w:eastAsia="Times New Roman" w:hAnsi="Times New Roman" w:cs="Times New Roman"/>
          <w:sz w:val="24"/>
          <w:szCs w:val="24"/>
        </w:rPr>
        <w:t xml:space="preserve">(9), 10-12. </w:t>
      </w:r>
      <w:proofErr w:type="gramStart"/>
      <w:r>
        <w:rPr>
          <w:rFonts w:ascii="Times New Roman" w:eastAsia="Times New Roman" w:hAnsi="Times New Roman" w:cs="Times New Roman"/>
          <w:sz w:val="24"/>
          <w:szCs w:val="24"/>
        </w:rPr>
        <w:t>doi</w:t>
      </w:r>
      <w:proofErr w:type="gramEnd"/>
      <w:r>
        <w:rPr>
          <w:rFonts w:ascii="Times New Roman" w:eastAsia="Times New Roman" w:hAnsi="Times New Roman" w:cs="Times New Roman"/>
          <w:sz w:val="24"/>
          <w:szCs w:val="24"/>
        </w:rPr>
        <w:t>: 10.1016/s1353-4858(17)30113-7</w:t>
      </w:r>
    </w:p>
    <w:p w:rsidR="00C30C8B" w:rsidRDefault="00C30C8B">
      <w:pPr>
        <w:shd w:val="clear" w:color="auto" w:fill="FFFFFF"/>
        <w:rPr>
          <w:rFonts w:ascii="Times New Roman" w:eastAsia="Times New Roman" w:hAnsi="Times New Roman" w:cs="Times New Roman"/>
          <w:sz w:val="24"/>
          <w:szCs w:val="24"/>
        </w:rPr>
      </w:pPr>
    </w:p>
    <w:p w:rsidR="00C30C8B" w:rsidRDefault="001E516C">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Wingrove, J. (2019, February 6). Huawei likely faces 5G ban in Canada, security experts </w:t>
      </w:r>
    </w:p>
    <w:p w:rsidR="00C30C8B" w:rsidRDefault="001E516C">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say</w:t>
      </w:r>
      <w:proofErr w:type="gram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Financial Post. </w:t>
      </w:r>
      <w:r>
        <w:rPr>
          <w:rFonts w:ascii="Times New Roman" w:eastAsia="Times New Roman" w:hAnsi="Times New Roman" w:cs="Times New Roman"/>
          <w:sz w:val="24"/>
          <w:szCs w:val="24"/>
        </w:rPr>
        <w:t>Retrieved from </w:t>
      </w:r>
      <w:hyperlink r:id="rId65">
        <w:r>
          <w:rPr>
            <w:rFonts w:ascii="Times New Roman" w:eastAsia="Times New Roman" w:hAnsi="Times New Roman" w:cs="Times New Roman"/>
            <w:color w:val="0000FF"/>
            <w:sz w:val="24"/>
            <w:szCs w:val="24"/>
            <w:u w:val="single"/>
          </w:rPr>
          <w:t>https://business.financialpost.com/telecom/huawei-likely-faces-5g-ban-in-canada-security-experts-say</w:t>
        </w:r>
      </w:hyperlink>
    </w:p>
    <w:p w:rsidR="00C30C8B" w:rsidRDefault="00C30C8B">
      <w:pPr>
        <w:spacing w:after="160" w:line="480" w:lineRule="auto"/>
        <w:rPr>
          <w:rFonts w:ascii="Times New Roman" w:eastAsia="Times New Roman" w:hAnsi="Times New Roman" w:cs="Times New Roman"/>
          <w:sz w:val="24"/>
          <w:szCs w:val="24"/>
        </w:rPr>
      </w:pPr>
    </w:p>
    <w:p w:rsidR="00C30C8B" w:rsidRDefault="00C30C8B">
      <w:pPr>
        <w:spacing w:line="240" w:lineRule="auto"/>
        <w:jc w:val="both"/>
        <w:rPr>
          <w:rFonts w:ascii="Times New Roman" w:eastAsia="Times New Roman" w:hAnsi="Times New Roman" w:cs="Times New Roman"/>
          <w:b/>
          <w:sz w:val="24"/>
          <w:szCs w:val="24"/>
        </w:rPr>
      </w:pPr>
    </w:p>
    <w:p w:rsidR="007F459E" w:rsidRDefault="007F459E">
      <w:pPr>
        <w:spacing w:line="240" w:lineRule="auto"/>
        <w:jc w:val="both"/>
        <w:rPr>
          <w:rFonts w:ascii="Times New Roman" w:eastAsia="Times New Roman" w:hAnsi="Times New Roman" w:cs="Times New Roman"/>
          <w:b/>
          <w:sz w:val="24"/>
          <w:szCs w:val="24"/>
        </w:rPr>
      </w:pPr>
    </w:p>
    <w:p w:rsidR="001E516C" w:rsidRDefault="001E516C">
      <w:pPr>
        <w:spacing w:line="240" w:lineRule="auto"/>
        <w:jc w:val="both"/>
        <w:rPr>
          <w:rFonts w:ascii="Times New Roman" w:eastAsia="Times New Roman" w:hAnsi="Times New Roman" w:cs="Times New Roman"/>
          <w:b/>
          <w:sz w:val="24"/>
          <w:szCs w:val="24"/>
        </w:rPr>
      </w:pPr>
    </w:p>
    <w:p w:rsidR="001E516C" w:rsidRDefault="001E516C">
      <w:pPr>
        <w:spacing w:line="240" w:lineRule="auto"/>
        <w:jc w:val="both"/>
        <w:rPr>
          <w:rFonts w:ascii="Times New Roman" w:eastAsia="Times New Roman" w:hAnsi="Times New Roman" w:cs="Times New Roman"/>
          <w:b/>
          <w:sz w:val="24"/>
          <w:szCs w:val="24"/>
        </w:rPr>
      </w:pPr>
    </w:p>
    <w:p w:rsidR="001E516C" w:rsidRDefault="001E516C">
      <w:pPr>
        <w:spacing w:line="240" w:lineRule="auto"/>
        <w:jc w:val="both"/>
        <w:rPr>
          <w:rFonts w:ascii="Times New Roman" w:eastAsia="Times New Roman" w:hAnsi="Times New Roman" w:cs="Times New Roman"/>
          <w:b/>
          <w:sz w:val="24"/>
          <w:szCs w:val="24"/>
        </w:rPr>
      </w:pPr>
    </w:p>
    <w:p w:rsidR="00C30C8B" w:rsidRDefault="001E516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The Global War on Terror in China: an assessment of Beijing’s Securitization of the Xinjiang Uyghur Autonomous Region</w:t>
      </w:r>
    </w:p>
    <w:p w:rsidR="00C30C8B" w:rsidRDefault="00C30C8B">
      <w:pPr>
        <w:spacing w:line="240" w:lineRule="auto"/>
        <w:jc w:val="both"/>
        <w:rPr>
          <w:rFonts w:ascii="Times New Roman" w:eastAsia="Times New Roman" w:hAnsi="Times New Roman" w:cs="Times New Roman"/>
          <w:b/>
          <w:sz w:val="24"/>
          <w:szCs w:val="24"/>
        </w:rPr>
      </w:pPr>
    </w:p>
    <w:p w:rsidR="00C30C8B" w:rsidRDefault="00C30C8B">
      <w:pPr>
        <w:spacing w:line="240" w:lineRule="auto"/>
        <w:rPr>
          <w:rFonts w:ascii="Times New Roman" w:eastAsia="Times New Roman" w:hAnsi="Times New Roman" w:cs="Times New Roman"/>
          <w:b/>
          <w:sz w:val="24"/>
          <w:szCs w:val="24"/>
        </w:rPr>
      </w:pPr>
    </w:p>
    <w:p w:rsidR="00C30C8B" w:rsidRDefault="001E516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Anoosheh Majidi, University of Ottawa, Ottawa, Canada</w:t>
      </w:r>
    </w:p>
    <w:p w:rsidR="00C30C8B" w:rsidRDefault="00C30C8B">
      <w:pPr>
        <w:spacing w:line="240" w:lineRule="auto"/>
        <w:jc w:val="center"/>
        <w:rPr>
          <w:rFonts w:ascii="Times New Roman" w:eastAsia="Times New Roman" w:hAnsi="Times New Roman" w:cs="Times New Roman"/>
          <w:sz w:val="24"/>
          <w:szCs w:val="24"/>
        </w:rPr>
      </w:pPr>
    </w:p>
    <w:p w:rsidR="00C30C8B" w:rsidRDefault="00C30C8B">
      <w:pPr>
        <w:spacing w:line="240" w:lineRule="auto"/>
        <w:jc w:val="center"/>
        <w:rPr>
          <w:rFonts w:ascii="Times New Roman" w:eastAsia="Times New Roman" w:hAnsi="Times New Roman" w:cs="Times New Roman"/>
          <w:sz w:val="24"/>
          <w:szCs w:val="24"/>
        </w:rPr>
      </w:pPr>
    </w:p>
    <w:p w:rsidR="00C30C8B" w:rsidRDefault="001E516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C30C8B" w:rsidRDefault="00C30C8B">
      <w:pPr>
        <w:spacing w:line="240" w:lineRule="auto"/>
        <w:jc w:val="both"/>
        <w:rPr>
          <w:rFonts w:ascii="Times New Roman" w:eastAsia="Times New Roman" w:hAnsi="Times New Roman" w:cs="Times New Roman"/>
          <w:b/>
          <w:sz w:val="24"/>
          <w:szCs w:val="24"/>
        </w:rPr>
      </w:pPr>
    </w:p>
    <w:p w:rsidR="00C30C8B" w:rsidRDefault="001E516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This paper examines shifts in Beijing’s securitization of the Xinjiang Uyghur Autonomous Region (XUAR), considering how the rhetoric produced through a Global War on Terror (GWOT) framework is irreconcilable with the Copenhagen School’s securitization theory. Through the lens of this theory, this paper examines how two critical aspects of Uyghur securitization are in contention with the securitization that has become synonymous with the ‘War on Terror’ rhetoric. </w:t>
      </w:r>
      <w:proofErr w:type="gramStart"/>
      <w:r>
        <w:rPr>
          <w:rFonts w:ascii="Times New Roman" w:eastAsia="Times New Roman" w:hAnsi="Times New Roman" w:cs="Times New Roman"/>
          <w:sz w:val="24"/>
          <w:szCs w:val="24"/>
        </w:rPr>
        <w:t>To fully examine</w:t>
      </w:r>
      <w:proofErr w:type="gramEnd"/>
      <w:r>
        <w:rPr>
          <w:rFonts w:ascii="Times New Roman" w:eastAsia="Times New Roman" w:hAnsi="Times New Roman" w:cs="Times New Roman"/>
          <w:sz w:val="24"/>
          <w:szCs w:val="24"/>
        </w:rPr>
        <w:t xml:space="preserve"> this argument, this paper begins by first considering a theoretical elaboration of the Copenhagen school’s Securitization theory and a discussion of the GWOT framework. The focus will then turn to an assessment of the case study, considering </w:t>
      </w:r>
      <w:proofErr w:type="gramStart"/>
      <w:r>
        <w:rPr>
          <w:rFonts w:ascii="Times New Roman" w:eastAsia="Times New Roman" w:hAnsi="Times New Roman" w:cs="Times New Roman"/>
          <w:sz w:val="24"/>
          <w:szCs w:val="24"/>
        </w:rPr>
        <w:t>a brief historical overview of securitization and how securitization applies to this case, followed by a discussion of the implications of framing the GWOT within Beijing’s current securitization strategy</w:t>
      </w:r>
      <w:proofErr w:type="gramEnd"/>
      <w:r>
        <w:rPr>
          <w:rFonts w:ascii="Times New Roman" w:eastAsia="Times New Roman" w:hAnsi="Times New Roman" w:cs="Times New Roman"/>
          <w:sz w:val="24"/>
          <w:szCs w:val="24"/>
        </w:rPr>
        <w:t>. In considering these elements, this paper attempts to illustrate how China’s securitization of Xinjiang has transformed into a reflection of Buzan, Waever and de Wilde’s understanding of ‘negative security.’</w:t>
      </w: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Securitization, War on Terror, Surveillance, Speech Act, Extremism, Biopolitics </w:t>
      </w: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1E516C" w:rsidRDefault="001E516C">
      <w:pPr>
        <w:spacing w:line="480" w:lineRule="auto"/>
        <w:jc w:val="both"/>
        <w:rPr>
          <w:rFonts w:ascii="Times New Roman" w:eastAsia="Times New Roman" w:hAnsi="Times New Roman" w:cs="Times New Roman"/>
          <w:sz w:val="24"/>
          <w:szCs w:val="24"/>
        </w:rPr>
      </w:pPr>
    </w:p>
    <w:p w:rsidR="00C30C8B" w:rsidRDefault="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Senator Hutchinson spoke on the Senate floor in the wake of the September 11 attacks, he emphasized that just as the New York skyline had changed, so too had the geopolitical makeup of the world. While this seems like an imposing claim, the detrimental effects of the rhetoric that emerged in a post-9/11 context </w:t>
      </w:r>
      <w:proofErr w:type="gramStart"/>
      <w:r>
        <w:rPr>
          <w:rFonts w:ascii="Times New Roman" w:eastAsia="Times New Roman" w:hAnsi="Times New Roman" w:cs="Times New Roman"/>
          <w:sz w:val="24"/>
          <w:szCs w:val="24"/>
        </w:rPr>
        <w:t>are observed</w:t>
      </w:r>
      <w:proofErr w:type="gramEnd"/>
      <w:r>
        <w:rPr>
          <w:rFonts w:ascii="Times New Roman" w:eastAsia="Times New Roman" w:hAnsi="Times New Roman" w:cs="Times New Roman"/>
          <w:sz w:val="24"/>
          <w:szCs w:val="24"/>
        </w:rPr>
        <w:t xml:space="preserve"> astonishingly some 6561 miles away, in the Xinjiang Uyghur Autonomous Region (XUAR). Beijing’s policy towards its </w:t>
      </w:r>
      <w:proofErr w:type="gramStart"/>
      <w:r>
        <w:rPr>
          <w:rFonts w:ascii="Times New Roman" w:eastAsia="Times New Roman" w:hAnsi="Times New Roman" w:cs="Times New Roman"/>
          <w:sz w:val="24"/>
          <w:szCs w:val="24"/>
        </w:rPr>
        <w:t>north-eastern</w:t>
      </w:r>
      <w:proofErr w:type="gramEnd"/>
      <w:r>
        <w:rPr>
          <w:rFonts w:ascii="Times New Roman" w:eastAsia="Times New Roman" w:hAnsi="Times New Roman" w:cs="Times New Roman"/>
          <w:sz w:val="24"/>
          <w:szCs w:val="24"/>
        </w:rPr>
        <w:t xml:space="preserve"> front can historically be characterized as one of national security, but in a post-9/11 context, the Chinese government has increasingly sought to label the Uyghur majority of Xinjiang as ‘terrorists.’ This represents a shift from previous labels of “counter-revolutionaries” and “separatists,” the nuances of which this paper attempts to address. Importantly, there is also the emergence of a puzzle: to what extent is the rhetoric produced through a Global War on Terror (GWOT) framework reconcilable with securitization theory? In attempting to address this question, this paper argues that some of the key characteristics of the GWOT framework, primarily the creation of the securitized ‘other’ and the counter-measures (i.e. counter-terrorism) that have become expected of the securitizing actor, have rendered Beijing’s securitization policy ineffective and ultimately (and ironically), counter-productive. </w:t>
      </w:r>
      <w:proofErr w:type="gramStart"/>
      <w:r>
        <w:rPr>
          <w:rFonts w:ascii="Times New Roman" w:eastAsia="Times New Roman" w:hAnsi="Times New Roman" w:cs="Times New Roman"/>
          <w:sz w:val="24"/>
          <w:szCs w:val="24"/>
        </w:rPr>
        <w:t>To fully examine</w:t>
      </w:r>
      <w:proofErr w:type="gramEnd"/>
      <w:r>
        <w:rPr>
          <w:rFonts w:ascii="Times New Roman" w:eastAsia="Times New Roman" w:hAnsi="Times New Roman" w:cs="Times New Roman"/>
          <w:sz w:val="24"/>
          <w:szCs w:val="24"/>
        </w:rPr>
        <w:t xml:space="preserve"> this argument, this paper begins by first considering a theoretical elaboration of the Copenhagen school’s Securitization theory and a discussion of the GWOT framework. The focus will then turn to an assessment of the case study, considering </w:t>
      </w:r>
      <w:proofErr w:type="gramStart"/>
      <w:r>
        <w:rPr>
          <w:rFonts w:ascii="Times New Roman" w:eastAsia="Times New Roman" w:hAnsi="Times New Roman" w:cs="Times New Roman"/>
          <w:sz w:val="24"/>
          <w:szCs w:val="24"/>
        </w:rPr>
        <w:t>a brief historical overview of securitization and how securitization applies to this case, followed by a discussion of the implications of framing the GWOT within Beijing’s current securitization strategy</w:t>
      </w:r>
      <w:proofErr w:type="gramEnd"/>
      <w:r>
        <w:rPr>
          <w:rFonts w:ascii="Times New Roman" w:eastAsia="Times New Roman" w:hAnsi="Times New Roman" w:cs="Times New Roman"/>
          <w:sz w:val="24"/>
          <w:szCs w:val="24"/>
        </w:rPr>
        <w:t>. In considering these elements, this paper attempts to illustrate how China’s securitization of Xinjiang has transformed into a reflection of Buzan, Waever and de Wilde’s understanding of ‘negative security.’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is precisely in the grey areas of the question “security for whom” that there can be witnessed a myriad of potential expansions – of state power, of insecurity at the individual level, of an infringement of rights. This space, which clearly demarcates the security of the state from the security of the </w:t>
      </w:r>
      <w:proofErr w:type="gramStart"/>
      <w:r>
        <w:rPr>
          <w:rFonts w:ascii="Times New Roman" w:eastAsia="Times New Roman" w:hAnsi="Times New Roman" w:cs="Times New Roman"/>
          <w:sz w:val="24"/>
          <w:szCs w:val="24"/>
        </w:rPr>
        <w:t>individual</w:t>
      </w:r>
      <w:proofErr w:type="gramEnd"/>
      <w:r>
        <w:rPr>
          <w:rFonts w:ascii="Times New Roman" w:eastAsia="Times New Roman" w:hAnsi="Times New Roman" w:cs="Times New Roman"/>
          <w:sz w:val="24"/>
          <w:szCs w:val="24"/>
        </w:rPr>
        <w:t xml:space="preserve"> is wherein we find Xinjiang today. As of November 2019, the New York Times has reported on the “Xinjiang Papers,” which refer to some 400 pages of internal documents from the Chinese Communist Party on policy directives relating to the “surveillance and control” of the Uyghurs in Xinjiang (Ramzy &amp; Buckley, 2019). Of the key disclosures in the New York Times report, one bullet point summarizes best the importance of considering this research question:</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“Terrorist attacks abroad and the drawdown of American troops in Afghanistan heightened the leadership’s fears and helped shape the crackdown. Officials argued that attacks in Britain resulted from policies that put “human rights above security,” and Mr. Xi urged the party to emulate aspects of America’s “war on terror” after the Sept. 11 attacks.” (Ramzy &amp; Buckley, 2019)</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aspects of this disclosure stand out – first, the critique of policies that put “human rights above security” and second, the desire to emulate the “war on terror.” While both of these directives are concerning from a human rights standpoint, this paper attempts to fill in the gap of how the shift to this “war on terror” securitization reduces security policies to dealing with normative absolutes, such as the label “terrorist.” This ultimately results in insecurity at the individual level, without necessarily rectifying the core security problem. </w:t>
      </w:r>
    </w:p>
    <w:p w:rsidR="00C30C8B" w:rsidRDefault="001E516C" w:rsidP="007F459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this paper, there will be several references to concepts found in the domain of security studies, for ease of the reader’s </w:t>
      </w:r>
      <w:proofErr w:type="gramStart"/>
      <w:r>
        <w:rPr>
          <w:rFonts w:ascii="Times New Roman" w:eastAsia="Times New Roman" w:hAnsi="Times New Roman" w:cs="Times New Roman"/>
          <w:sz w:val="24"/>
          <w:szCs w:val="24"/>
        </w:rPr>
        <w:t>understanding,</w:t>
      </w:r>
      <w:proofErr w:type="gramEnd"/>
      <w:r>
        <w:rPr>
          <w:rFonts w:ascii="Times New Roman" w:eastAsia="Times New Roman" w:hAnsi="Times New Roman" w:cs="Times New Roman"/>
          <w:sz w:val="24"/>
          <w:szCs w:val="24"/>
        </w:rPr>
        <w:t xml:space="preserve"> these will be briefly defined in this section.</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Copenhagen School’s understanding of security </w:t>
      </w:r>
      <w:proofErr w:type="gramStart"/>
      <w:r>
        <w:rPr>
          <w:rFonts w:ascii="Times New Roman" w:eastAsia="Times New Roman" w:hAnsi="Times New Roman" w:cs="Times New Roman"/>
          <w:sz w:val="24"/>
          <w:szCs w:val="24"/>
        </w:rPr>
        <w:t>is defined</w:t>
      </w:r>
      <w:proofErr w:type="gramEnd"/>
      <w:r>
        <w:rPr>
          <w:rFonts w:ascii="Times New Roman" w:eastAsia="Times New Roman" w:hAnsi="Times New Roman" w:cs="Times New Roman"/>
          <w:sz w:val="24"/>
          <w:szCs w:val="24"/>
        </w:rPr>
        <w:t xml:space="preserve"> in the next sections, the notion of security more generally within the realm of international relations would benefit from </w:t>
      </w:r>
      <w:r>
        <w:rPr>
          <w:rFonts w:ascii="Times New Roman" w:eastAsia="Times New Roman" w:hAnsi="Times New Roman" w:cs="Times New Roman"/>
          <w:sz w:val="24"/>
          <w:szCs w:val="24"/>
        </w:rPr>
        <w:lastRenderedPageBreak/>
        <w:t xml:space="preserve">some elaboration. While the definition of security in IR has changed over time,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primary and most traditional sense is associated with military force as the domain and the state as the referent (or object of security). Following tenets of the Realist school of thought, this understanding of security concerns itself primarily with the protection of the state (in a territorial sense) against military threats from the external nexus of other state actors.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definition begins to weaken; however, when we consider the </w:t>
      </w:r>
      <w:proofErr w:type="gramStart"/>
      <w:r>
        <w:rPr>
          <w:rFonts w:ascii="Times New Roman" w:eastAsia="Times New Roman" w:hAnsi="Times New Roman" w:cs="Times New Roman"/>
          <w:sz w:val="24"/>
          <w:szCs w:val="24"/>
        </w:rPr>
        <w:t>questions:</w:t>
      </w:r>
      <w:proofErr w:type="gramEnd"/>
      <w:r>
        <w:rPr>
          <w:rFonts w:ascii="Times New Roman" w:eastAsia="Times New Roman" w:hAnsi="Times New Roman" w:cs="Times New Roman"/>
          <w:sz w:val="24"/>
          <w:szCs w:val="24"/>
        </w:rPr>
        <w:t xml:space="preserve"> “Security for whom? Security for which values?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How much security?”. It is the events of the late ’60s and early 70’s, such as the 1970’s energy crisis, that sees a shift in the domain of security. Whereas prior to the domain had been military security, the oil crisis in particular brought forth the advent of ‘economic security’ – concerned with vulnerabilities of supply and demand in the ever-interconnected system of states. While our typology of security may have diversified (i.e. military, economic, environmental), it is never the case that one application of security supersedes another. This is best exemplified in the notion of ‘human security’ which shifts the object of security to the individual, and the domain of security becomes both traditional (i.e. military) and non-traditional (i.e. poverty, hunger, disease). In this case, while the state is the main facilitator of security for the individual, we can see that the security of the state is not a sufficient condition for human security. This is to say, the state can be secure while the individual remains insecure.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also makes broad references to a Global War on Terror framework. While there are no specific references to this framework in the larger body of works this paper consults, it represents a culmination of references to how security </w:t>
      </w:r>
      <w:proofErr w:type="gramStart"/>
      <w:r>
        <w:rPr>
          <w:rFonts w:ascii="Times New Roman" w:eastAsia="Times New Roman" w:hAnsi="Times New Roman" w:cs="Times New Roman"/>
          <w:sz w:val="24"/>
          <w:szCs w:val="24"/>
        </w:rPr>
        <w:t>is understood</w:t>
      </w:r>
      <w:proofErr w:type="gramEnd"/>
      <w:r>
        <w:rPr>
          <w:rFonts w:ascii="Times New Roman" w:eastAsia="Times New Roman" w:hAnsi="Times New Roman" w:cs="Times New Roman"/>
          <w:sz w:val="24"/>
          <w:szCs w:val="24"/>
        </w:rPr>
        <w:t xml:space="preserve"> in a post-9/11 context. In the body of this paper, it is used primarily as an analytical tool to demonstrate how the definition of security, and in particular national security, can be strategically applied by states to further their agendas. Very briefly, the Global War on Terror framework encompasses a variety of shifts that occur in the security agendas of states globally within the context of the ‘War on Terror.’ The </w:t>
      </w:r>
      <w:r>
        <w:rPr>
          <w:rFonts w:ascii="Times New Roman" w:eastAsia="Times New Roman" w:hAnsi="Times New Roman" w:cs="Times New Roman"/>
          <w:sz w:val="24"/>
          <w:szCs w:val="24"/>
        </w:rPr>
        <w:lastRenderedPageBreak/>
        <w:t xml:space="preserve">subject of ‘securitization’ becomes </w:t>
      </w:r>
      <w:proofErr w:type="gramStart"/>
      <w:r>
        <w:rPr>
          <w:rFonts w:ascii="Times New Roman" w:eastAsia="Times New Roman" w:hAnsi="Times New Roman" w:cs="Times New Roman"/>
          <w:sz w:val="24"/>
          <w:szCs w:val="24"/>
        </w:rPr>
        <w:t>very</w:t>
      </w:r>
      <w:proofErr w:type="gramEnd"/>
      <w:r>
        <w:rPr>
          <w:rFonts w:ascii="Times New Roman" w:eastAsia="Times New Roman" w:hAnsi="Times New Roman" w:cs="Times New Roman"/>
          <w:sz w:val="24"/>
          <w:szCs w:val="24"/>
        </w:rPr>
        <w:t xml:space="preserve"> defined in that it reflects a specific region, religion, and perhaps gender in cases of everyday security. The domain of security shifts into a militarized understanding of security, which simultaneously attempts to assert development as a necessary means of achieving that security. In practice, this brings several interesting consequences for international cooperation – there is an emergence of international interventions that are not entirely founded in the context of the “Responsibility to Protect (R2P)” criteria; however, they are nonetheless portrayed as ‘humanitarian.’ This lack of clarity around the conditions necessary for intervention contributes to the politicization of human security – security for whom?  </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Security and Securitization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Copenhagen School (CS) of Critical Security Studies (CSS) popularized by the works of Buzan, Waever and de Wilde contends that security </w:t>
      </w:r>
      <w:proofErr w:type="gramStart"/>
      <w:r>
        <w:rPr>
          <w:rFonts w:ascii="Times New Roman" w:eastAsia="Times New Roman" w:hAnsi="Times New Roman" w:cs="Times New Roman"/>
          <w:sz w:val="24"/>
          <w:szCs w:val="24"/>
        </w:rPr>
        <w:t>can be regarded</w:t>
      </w:r>
      <w:proofErr w:type="gramEnd"/>
      <w:r>
        <w:rPr>
          <w:rFonts w:ascii="Times New Roman" w:eastAsia="Times New Roman" w:hAnsi="Times New Roman" w:cs="Times New Roman"/>
          <w:sz w:val="24"/>
          <w:szCs w:val="24"/>
        </w:rPr>
        <w:t xml:space="preserve"> as a “speech act” (Waever, 1995). That is to say, to utter ‘security’ is to create “a new social order wherein ‘normal politics’ is bracketed” (Balzacq, p. 171). In essence, the speech act carves out a space external to normal politics and, therefore, public deliberation, where the targeted issue can be dealt with. The target of securitization is often that which is deemed </w:t>
      </w:r>
      <w:proofErr w:type="gramStart"/>
      <w:r>
        <w:rPr>
          <w:rFonts w:ascii="Times New Roman" w:eastAsia="Times New Roman" w:hAnsi="Times New Roman" w:cs="Times New Roman"/>
          <w:sz w:val="24"/>
          <w:szCs w:val="24"/>
        </w:rPr>
        <w:t>to be an</w:t>
      </w:r>
      <w:proofErr w:type="gramEnd"/>
      <w:r>
        <w:rPr>
          <w:rFonts w:ascii="Times New Roman" w:eastAsia="Times New Roman" w:hAnsi="Times New Roman" w:cs="Times New Roman"/>
          <w:sz w:val="24"/>
          <w:szCs w:val="24"/>
        </w:rPr>
        <w:t xml:space="preserve"> “existential threat” to the state, and therefore the issue is framed as an emergency, which justifies exceptional state responses (Buzan, Waever, &amp; de Wilde, p. 24). Three ‘felicity conditions’ exist for a speech act to succeed – first, the speech act must be executed in adherence to the accepted conventions, i.e. the “internal” grammar of security. Second, the securitizing actor (i.e. who defines security) is restricted to political elites. Lastly, the issue which is securitized </w:t>
      </w:r>
      <w:proofErr w:type="gramStart"/>
      <w:r>
        <w:rPr>
          <w:rFonts w:ascii="Times New Roman" w:eastAsia="Times New Roman" w:hAnsi="Times New Roman" w:cs="Times New Roman"/>
          <w:sz w:val="24"/>
          <w:szCs w:val="24"/>
        </w:rPr>
        <w:t>is  conventionally</w:t>
      </w:r>
      <w:proofErr w:type="gramEnd"/>
      <w:r>
        <w:rPr>
          <w:rFonts w:ascii="Times New Roman" w:eastAsia="Times New Roman" w:hAnsi="Times New Roman" w:cs="Times New Roman"/>
          <w:sz w:val="24"/>
          <w:szCs w:val="24"/>
        </w:rPr>
        <w:t xml:space="preserve"> understood as constituting a threat. (Buzan, Waever, &amp; de Wilde, p. 33) The absence of these conditions, according to Buzan, Waever and de Wilde, leads to a failure of securitization. At its core, as Balzacq argues, these conditions contribute to the “linguistic construction of a security problem” (Balzacq, p. 173). The emphasis on the linguistic construction of the threat reflects the self-referential nature of threat construction in </w:t>
      </w:r>
      <w:r>
        <w:rPr>
          <w:rFonts w:ascii="Times New Roman" w:eastAsia="Times New Roman" w:hAnsi="Times New Roman" w:cs="Times New Roman"/>
          <w:sz w:val="24"/>
          <w:szCs w:val="24"/>
        </w:rPr>
        <w:lastRenderedPageBreak/>
        <w:t xml:space="preserve">securitization theory – i.e. the issue is not necessarily a threat, but </w:t>
      </w:r>
      <w:proofErr w:type="gramStart"/>
      <w:r>
        <w:rPr>
          <w:rFonts w:ascii="Times New Roman" w:eastAsia="Times New Roman" w:hAnsi="Times New Roman" w:cs="Times New Roman"/>
          <w:sz w:val="24"/>
          <w:szCs w:val="24"/>
        </w:rPr>
        <w:t>is presented</w:t>
      </w:r>
      <w:proofErr w:type="gramEnd"/>
      <w:r>
        <w:rPr>
          <w:rFonts w:ascii="Times New Roman" w:eastAsia="Times New Roman" w:hAnsi="Times New Roman" w:cs="Times New Roman"/>
          <w:sz w:val="24"/>
          <w:szCs w:val="24"/>
        </w:rPr>
        <w:t xml:space="preserve"> as such. The contingence of securitization theory’s success on these core aspects is a reminder of its performative nature – </w:t>
      </w:r>
      <w:proofErr w:type="gramStart"/>
      <w:r>
        <w:rPr>
          <w:rFonts w:ascii="Times New Roman" w:eastAsia="Times New Roman" w:hAnsi="Times New Roman" w:cs="Times New Roman"/>
          <w:sz w:val="24"/>
          <w:szCs w:val="24"/>
        </w:rPr>
        <w:t>it is an act that requires the necessary involvement of all the actors</w:t>
      </w:r>
      <w:proofErr w:type="gramEnd"/>
      <w:r>
        <w:rPr>
          <w:rFonts w:ascii="Times New Roman" w:eastAsia="Times New Roman" w:hAnsi="Times New Roman" w:cs="Times New Roman"/>
          <w:sz w:val="24"/>
          <w:szCs w:val="24"/>
        </w:rPr>
        <w:t>. If, for example, in this case, the Han Chinese (the intended audience of the speech act) had not been predisposed to the idea of Uyghurs (target of securitization) as an “existential threat” to Chinese sovereignty and “harmonious society,” then to what extent would Beijing’s securitization be deemed successful?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considering some of the weaknesses of securitization theory, this paper agrees with Balzacq in saying that the necessity to adhere to the core elements of securitization (e.g. speech acts, political elites, conventional language) render it somewhat formal, and therefore misleadingly characterized as having a “fixed, permanent, unchanging [code of practice].” The procedural aspects of securitization theory are </w:t>
      </w:r>
      <w:proofErr w:type="gramStart"/>
      <w:r>
        <w:rPr>
          <w:rFonts w:ascii="Times New Roman" w:eastAsia="Times New Roman" w:hAnsi="Times New Roman" w:cs="Times New Roman"/>
          <w:sz w:val="24"/>
          <w:szCs w:val="24"/>
        </w:rPr>
        <w:t>well-formulated</w:t>
      </w:r>
      <w:proofErr w:type="gramEnd"/>
      <w:r>
        <w:rPr>
          <w:rFonts w:ascii="Times New Roman" w:eastAsia="Times New Roman" w:hAnsi="Times New Roman" w:cs="Times New Roman"/>
          <w:sz w:val="24"/>
          <w:szCs w:val="24"/>
        </w:rPr>
        <w:t xml:space="preserve"> and logical – but contingencies are not accounted for. These contingencies exist in the grey areas not defined by securitization theory – what is the weight of the audience’s deliberation/acceptance of the speech act, what is the extent to which contextual and historical predispositions </w:t>
      </w:r>
      <w:proofErr w:type="gramStart"/>
      <w:r>
        <w:rPr>
          <w:rFonts w:ascii="Times New Roman" w:eastAsia="Times New Roman" w:hAnsi="Times New Roman" w:cs="Times New Roman"/>
          <w:sz w:val="24"/>
          <w:szCs w:val="24"/>
        </w:rPr>
        <w:t>are drawn upon</w:t>
      </w:r>
      <w:proofErr w:type="gramEnd"/>
      <w:r>
        <w:rPr>
          <w:rFonts w:ascii="Times New Roman" w:eastAsia="Times New Roman" w:hAnsi="Times New Roman" w:cs="Times New Roman"/>
          <w:sz w:val="24"/>
          <w:szCs w:val="24"/>
        </w:rPr>
        <w:t xml:space="preserve"> in constructing threats? </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construct the main argument of this paper, this paper will consider two relevant critiques of securitization theory, taking into account how some of these weaknesses </w:t>
      </w:r>
      <w:proofErr w:type="gramStart"/>
      <w:r>
        <w:rPr>
          <w:rFonts w:ascii="Times New Roman" w:eastAsia="Times New Roman" w:hAnsi="Times New Roman" w:cs="Times New Roman"/>
          <w:sz w:val="24"/>
          <w:szCs w:val="24"/>
        </w:rPr>
        <w:t>may be amplified</w:t>
      </w:r>
      <w:proofErr w:type="gramEnd"/>
      <w:r>
        <w:rPr>
          <w:rFonts w:ascii="Times New Roman" w:eastAsia="Times New Roman" w:hAnsi="Times New Roman" w:cs="Times New Roman"/>
          <w:sz w:val="24"/>
          <w:szCs w:val="24"/>
        </w:rPr>
        <w:t xml:space="preserve"> within the context of a GWOT framework. First, securitization theory “fails to recognize that human communities can react to securitization” (Topgyal, p. 166). Second, although securitization is a theory based on speech acts, it undermines the perlocutionary interpretation of speech, focusing solely on the illocutionary (Topgyal, p. 168) (Balzacq, p. 176). </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expand on the first critique of securitization theory, this paper turns to Topgyal, who discusses the reaction of human communities to securitization within the specific context of Tibetan self-immolations. This form of counter-securitization, he argues, requires space for elaboration within </w:t>
      </w:r>
      <w:r>
        <w:rPr>
          <w:rFonts w:ascii="Times New Roman" w:eastAsia="Times New Roman" w:hAnsi="Times New Roman" w:cs="Times New Roman"/>
          <w:sz w:val="24"/>
          <w:szCs w:val="24"/>
        </w:rPr>
        <w:lastRenderedPageBreak/>
        <w:t xml:space="preserve">the Copenhagen school’s framework – he proposes that the securitized ‘other’ is an “unavoidable audience,” yet it is “rarely treated as an audience.” The presence of an “overlapping audience” (i.e. the ‘actual audience and the ‘other’) gains importance when considering the structural aspects of securitization – the ‘other’ is ultimately privy to the “construction of itself as a threat.” In essence, if the speech act did not ‘set off’ counter-securitization measures from the ‘other,’ then the implementation of the securitized, emergency policies will certainly do so. (Topgyal, p. 170) To consider this within the GWOT framework, Roberts’ “cycle of repression-violence-repression” is useful to illustrate how securitization has failed to foresee, or at least accommodate Uyghur reactionary measures, therefore leading to more insecurity (Roberts, The biopolitics of China's "war on terror" and the exclusion of the Uyghurs, p. 236). This relates best to the notion of the ‘self-fulfilling prophecy’ that China’s war on terror has become (Roberts, 2018). The cycle, which consists of repressive state policies, followed by violent reactionary resistance from Uyghurs, has led to the gradual breakdown of trust between Uyghurs and the PRC. Considering the added label of terrorism within the GWOT framework, (re)-integration </w:t>
      </w:r>
      <w:proofErr w:type="gramStart"/>
      <w:r>
        <w:rPr>
          <w:rFonts w:ascii="Times New Roman" w:eastAsia="Times New Roman" w:hAnsi="Times New Roman" w:cs="Times New Roman"/>
          <w:sz w:val="24"/>
          <w:szCs w:val="24"/>
        </w:rPr>
        <w:t>has been rendered</w:t>
      </w:r>
      <w:proofErr w:type="gramEnd"/>
      <w:r>
        <w:rPr>
          <w:rFonts w:ascii="Times New Roman" w:eastAsia="Times New Roman" w:hAnsi="Times New Roman" w:cs="Times New Roman"/>
          <w:sz w:val="24"/>
          <w:szCs w:val="24"/>
        </w:rPr>
        <w:t xml:space="preserve"> “virtually impossible.” It has led to the “de facto exclusion” of the Uyghurs, revoking their rights as equal citizens within the PRC. Per Slavoj Zizek, terrorists under the moniker of the GWOT have become the “modern equivalent” of Homo Sacer (Roberts, p. 236). Of course, this is not unique to Xinjiang but is applicable to all communities that </w:t>
      </w:r>
      <w:proofErr w:type="gramStart"/>
      <w:r>
        <w:rPr>
          <w:rFonts w:ascii="Times New Roman" w:eastAsia="Times New Roman" w:hAnsi="Times New Roman" w:cs="Times New Roman"/>
          <w:sz w:val="24"/>
          <w:szCs w:val="24"/>
        </w:rPr>
        <w:t>have been persecuted</w:t>
      </w:r>
      <w:proofErr w:type="gramEnd"/>
      <w:r>
        <w:rPr>
          <w:rFonts w:ascii="Times New Roman" w:eastAsia="Times New Roman" w:hAnsi="Times New Roman" w:cs="Times New Roman"/>
          <w:sz w:val="24"/>
          <w:szCs w:val="24"/>
        </w:rPr>
        <w:t xml:space="preserve"> in the name of the GWOT – using this framework, spaces have been labelled as uncontrollable, and populations have been cited as dangerous. This has potentially troubling implications for re-integration (de-securitization) of Uyghurs into normal politics and society.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Focusing on the philosophical ramifications of the speech act theory (per Austin), the act itself is composed of three main actions – the elocutionary (utterance of sense and reference), the illocutionary (performative utterance), and the perlocutionary (consequential effects). Balzacq has </w:t>
      </w:r>
      <w:r>
        <w:rPr>
          <w:rFonts w:ascii="Times New Roman" w:eastAsia="Times New Roman" w:hAnsi="Times New Roman" w:cs="Times New Roman"/>
          <w:sz w:val="24"/>
          <w:szCs w:val="24"/>
        </w:rPr>
        <w:lastRenderedPageBreak/>
        <w:t xml:space="preserve">argued that a weakness of the securitization theory is its emphasis on the illocutionary in speech, providing little to no attention to the perlocutionary interpretation of speech. The purpose (or rather success) of securitization is to attain a “significant response” from the perlocutionary effect – without a response, there is no securitization. This inattention to the perlocutionary </w:t>
      </w:r>
      <w:proofErr w:type="gramStart"/>
      <w:r>
        <w:rPr>
          <w:rFonts w:ascii="Times New Roman" w:eastAsia="Times New Roman" w:hAnsi="Times New Roman" w:cs="Times New Roman"/>
          <w:sz w:val="24"/>
          <w:szCs w:val="24"/>
        </w:rPr>
        <w:t>can be observed</w:t>
      </w:r>
      <w:proofErr w:type="gramEnd"/>
      <w:r>
        <w:rPr>
          <w:rFonts w:ascii="Times New Roman" w:eastAsia="Times New Roman" w:hAnsi="Times New Roman" w:cs="Times New Roman"/>
          <w:sz w:val="24"/>
          <w:szCs w:val="24"/>
        </w:rPr>
        <w:t xml:space="preserve"> in the Xinjiang case study and within the GWOT framework. The PRC’s labelling of Uyghurs as ‘existential threats’ within the discursive rhetoric of the GWOT has a two-fold impact – Uyghurs are securitized accordingly (this is extracted from the illocutionary), but the ‘audience’ (i.e. Han Chinese) form certain expectations as a result of the broader implications of the GWOT (the consequential effects, the perlocutionary). This notion </w:t>
      </w:r>
      <w:proofErr w:type="gramStart"/>
      <w:r>
        <w:rPr>
          <w:rFonts w:ascii="Times New Roman" w:eastAsia="Times New Roman" w:hAnsi="Times New Roman" w:cs="Times New Roman"/>
          <w:sz w:val="24"/>
          <w:szCs w:val="24"/>
        </w:rPr>
        <w:t>will be further examined</w:t>
      </w:r>
      <w:proofErr w:type="gramEnd"/>
      <w:r>
        <w:rPr>
          <w:rFonts w:ascii="Times New Roman" w:eastAsia="Times New Roman" w:hAnsi="Times New Roman" w:cs="Times New Roman"/>
          <w:sz w:val="24"/>
          <w:szCs w:val="24"/>
        </w:rPr>
        <w:t xml:space="preserve"> in the case study. </w:t>
      </w:r>
    </w:p>
    <w:p w:rsidR="00C30C8B" w:rsidRDefault="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Global War on Terror (GWOT) framework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discussing the GWOT framework, two main aspects </w:t>
      </w:r>
      <w:proofErr w:type="gramStart"/>
      <w:r>
        <w:rPr>
          <w:rFonts w:ascii="Times New Roman" w:eastAsia="Times New Roman" w:hAnsi="Times New Roman" w:cs="Times New Roman"/>
          <w:sz w:val="24"/>
          <w:szCs w:val="24"/>
        </w:rPr>
        <w:t>will be examined</w:t>
      </w:r>
      <w:proofErr w:type="gramEnd"/>
      <w:r>
        <w:rPr>
          <w:rFonts w:ascii="Times New Roman" w:eastAsia="Times New Roman" w:hAnsi="Times New Roman" w:cs="Times New Roman"/>
          <w:sz w:val="24"/>
          <w:szCs w:val="24"/>
        </w:rPr>
        <w:t xml:space="preserve"> – first, the creation of the securitized ‘other’ and second, the level of response required to address this constructed other. As mentioned in the previous section, threat construction relies on self-referential behaviour, which is to construct a threat in reference to your own identity. This paper argues, however, that even though China has historically labelled the Uyghur population as ‘other’ in reference to the majority Han or Confucian Chinese identity, the ‘terrorist’ label signifies a major shift in rhetoric, but also evokes several implications that have been difficult to address within the current security framework. With respect to the creation of the securitized ‘other,’ this paper turns to examine how the ‘terrorist’ label has changed the dynamics of securitization in Xinjiang. To express simply, </w:t>
      </w:r>
      <w:proofErr w:type="gramStart"/>
      <w:r>
        <w:rPr>
          <w:rFonts w:ascii="Times New Roman" w:eastAsia="Times New Roman" w:hAnsi="Times New Roman" w:cs="Times New Roman"/>
          <w:sz w:val="24"/>
          <w:szCs w:val="24"/>
        </w:rPr>
        <w:t>being labelled</w:t>
      </w:r>
      <w:proofErr w:type="gramEnd"/>
      <w:r>
        <w:rPr>
          <w:rFonts w:ascii="Times New Roman" w:eastAsia="Times New Roman" w:hAnsi="Times New Roman" w:cs="Times New Roman"/>
          <w:sz w:val="24"/>
          <w:szCs w:val="24"/>
        </w:rPr>
        <w:t xml:space="preserve"> a terrorist is vastly different from being labelled a separatist/nationalist, or a counter-revolutionary (i.e. labels associated with Uyghurs in the past). Drawing on Roberts’ interpretation of Foucault’s biopolitics, terrorism has had significant implications for Uyghurs as citizens of the People’s Republic of China. Roberts argues that the </w:t>
      </w:r>
      <w:r>
        <w:rPr>
          <w:rFonts w:ascii="Times New Roman" w:eastAsia="Times New Roman" w:hAnsi="Times New Roman" w:cs="Times New Roman"/>
          <w:sz w:val="24"/>
          <w:szCs w:val="24"/>
        </w:rPr>
        <w:lastRenderedPageBreak/>
        <w:t xml:space="preserve">label of terrorism makes clear and urgent the “presence of a biological threat to society” (Roberts, The biopolitics of China's "war on terror" and the exclusion of the Uyghurs, p. 234). Similar to a virus (or disease), it must be cleansed (Chilton, p. 197). The recently disclosed ‘Xinjiang Papers’ have revealed that internal documents regarding the Uyghur detainment camps refer to the individuals that have been “infected by the virus of Islamic radicalism,” and that they must be “quarantined and cured” (Ramzy &amp; Buckley, 2019). Logistically, what implications does this rhetoric hold for an entire community that is subject to securitization? Here this paper would supplement this hypothetical question with several facts. Consider that Uyghurs are ethnically Turkic Muslims, they are visibly recognizable as an ‘other,’ and the majority of the community is located within Xinjiang. What happens when a community with such characteristics </w:t>
      </w:r>
      <w:proofErr w:type="gramStart"/>
      <w:r>
        <w:rPr>
          <w:rFonts w:ascii="Times New Roman" w:eastAsia="Times New Roman" w:hAnsi="Times New Roman" w:cs="Times New Roman"/>
          <w:sz w:val="24"/>
          <w:szCs w:val="24"/>
        </w:rPr>
        <w:t>is labelled</w:t>
      </w:r>
      <w:proofErr w:type="gramEnd"/>
      <w:r>
        <w:rPr>
          <w:rFonts w:ascii="Times New Roman" w:eastAsia="Times New Roman" w:hAnsi="Times New Roman" w:cs="Times New Roman"/>
          <w:sz w:val="24"/>
          <w:szCs w:val="24"/>
        </w:rPr>
        <w:t xml:space="preserve"> as ‘terrorist’? As Roberts argues, the application of the GWOT framework on the Uyghur question has “substantively altered relations between the state and Uyghurs.” It has rendered them outside of Chinese society, of normal politics and of the “civilized world” (Roberts, The biopolitics of China's "war on terror" and the exclusion of the Uyghurs, p. 234). The main questions this paper poses with reference to the ‘terrorist’ label – how does a state begin to de-securitize a community articulated as a terrorist threat under the moniker of the GWOT? </w:t>
      </w:r>
      <w:proofErr w:type="gramStart"/>
      <w:r>
        <w:rPr>
          <w:rFonts w:ascii="Times New Roman" w:eastAsia="Times New Roman" w:hAnsi="Times New Roman" w:cs="Times New Roman"/>
          <w:sz w:val="24"/>
          <w:szCs w:val="24"/>
        </w:rPr>
        <w:t>Are terrorists recognized</w:t>
      </w:r>
      <w:proofErr w:type="gramEnd"/>
      <w:r>
        <w:rPr>
          <w:rFonts w:ascii="Times New Roman" w:eastAsia="Times New Roman" w:hAnsi="Times New Roman" w:cs="Times New Roman"/>
          <w:sz w:val="24"/>
          <w:szCs w:val="24"/>
        </w:rPr>
        <w:t xml:space="preserve"> as a community with true grievances, and are they reconcilable within the state (and within the realm of normal politics)? In the case of Xinjiang, the opposite is becoming increasingly clear.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Examining the biopolitics of China’s War on Terror is incredibly important, particularly when we begin to consider the specific measures that </w:t>
      </w:r>
      <w:proofErr w:type="gramStart"/>
      <w:r>
        <w:rPr>
          <w:rFonts w:ascii="Times New Roman" w:eastAsia="Times New Roman" w:hAnsi="Times New Roman" w:cs="Times New Roman"/>
          <w:sz w:val="24"/>
          <w:szCs w:val="24"/>
        </w:rPr>
        <w:t>are being taken</w:t>
      </w:r>
      <w:proofErr w:type="gramEnd"/>
      <w:r>
        <w:rPr>
          <w:rFonts w:ascii="Times New Roman" w:eastAsia="Times New Roman" w:hAnsi="Times New Roman" w:cs="Times New Roman"/>
          <w:sz w:val="24"/>
          <w:szCs w:val="24"/>
        </w:rPr>
        <w:t xml:space="preserve"> to securitize Xinjiang. Roberts argues that biopolitics categorizes the body politic into two groups – us vs. them, internal vs. external, or productive vs. unproductive. Whereas productive bodies are seen as a “critical tool in the hands of government” (i.e. this paper argues for the purposes of successful speech acts), unproductive bodies are considered </w:t>
      </w:r>
      <w:proofErr w:type="gramStart"/>
      <w:r>
        <w:rPr>
          <w:rFonts w:ascii="Times New Roman" w:eastAsia="Times New Roman" w:hAnsi="Times New Roman" w:cs="Times New Roman"/>
          <w:sz w:val="24"/>
          <w:szCs w:val="24"/>
        </w:rPr>
        <w:t>to be a</w:t>
      </w:r>
      <w:proofErr w:type="gramEnd"/>
      <w:r>
        <w:rPr>
          <w:rFonts w:ascii="Times New Roman" w:eastAsia="Times New Roman" w:hAnsi="Times New Roman" w:cs="Times New Roman"/>
          <w:sz w:val="24"/>
          <w:szCs w:val="24"/>
        </w:rPr>
        <w:t xml:space="preserve"> threat to the polity – subject to banishment, exclusion </w:t>
      </w:r>
      <w:r>
        <w:rPr>
          <w:rFonts w:ascii="Times New Roman" w:eastAsia="Times New Roman" w:hAnsi="Times New Roman" w:cs="Times New Roman"/>
          <w:sz w:val="24"/>
          <w:szCs w:val="24"/>
        </w:rPr>
        <w:lastRenderedPageBreak/>
        <w:t xml:space="preserve">and repression (Roberts, The biopolitics of China's "war on terror" and the exclusion of the Uyghurs, p. 235). Echoing the “container schema” (Chilton, p. 197), Roberts argues that if the polity is to be seen as a living organism, then its health depends on “fostering productive actors while excluding the infectious potential of those who are unproductive” (Roberts, The biopolitics of China's "war on terror" and the exclusion of the Uyghurs, p. 235). Per Chilton, although these labels take place within the metaphorical realm, they </w:t>
      </w:r>
      <w:proofErr w:type="gramStart"/>
      <w:r>
        <w:rPr>
          <w:rFonts w:ascii="Times New Roman" w:eastAsia="Times New Roman" w:hAnsi="Times New Roman" w:cs="Times New Roman"/>
          <w:sz w:val="24"/>
          <w:szCs w:val="24"/>
        </w:rPr>
        <w:t>are translated</w:t>
      </w:r>
      <w:proofErr w:type="gramEnd"/>
      <w:r>
        <w:rPr>
          <w:rFonts w:ascii="Times New Roman" w:eastAsia="Times New Roman" w:hAnsi="Times New Roman" w:cs="Times New Roman"/>
          <w:sz w:val="24"/>
          <w:szCs w:val="24"/>
        </w:rPr>
        <w:t xml:space="preserve"> into the “pragmatic domain of political, social or military action” – this is most relevant to the case of Xinjiang.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Considering the level of expected state response to such ‘existential threats,’ we can see that once the label of terrorist </w:t>
      </w:r>
      <w:proofErr w:type="gramStart"/>
      <w:r>
        <w:rPr>
          <w:rFonts w:ascii="Times New Roman" w:eastAsia="Times New Roman" w:hAnsi="Times New Roman" w:cs="Times New Roman"/>
          <w:sz w:val="24"/>
          <w:szCs w:val="24"/>
        </w:rPr>
        <w:t>has been employed</w:t>
      </w:r>
      <w:proofErr w:type="gramEnd"/>
      <w:r>
        <w:rPr>
          <w:rFonts w:ascii="Times New Roman" w:eastAsia="Times New Roman" w:hAnsi="Times New Roman" w:cs="Times New Roman"/>
          <w:sz w:val="24"/>
          <w:szCs w:val="24"/>
        </w:rPr>
        <w:t>, the response can only heighten, and repression can only increase. Interestingly, it would seem that the Chinese re-framing of Uyghurs as terrorists has constituted the bracketing of a newer ‘speech act’ within an existing framework of securitization. In a sense, this transition has elevated Uyghur livelihoods and insecurity to a higher realm of exceptional politics – not only are they an ‘other,’ but they are a ‘terrorist other.’ This consequential elevation explains why the PRC has attempted (rather successfully) to construct a security state within a state. The case study will elaborate further on current developments in Xinjiang. </w:t>
      </w:r>
    </w:p>
    <w:p w:rsidR="00C30C8B" w:rsidRDefault="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study: Xinjiang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presenting the case study, this paper will consider a contextual setting of Xinjiang (geographic and ethnographic), and the historical framing that it has been subjected to in attempting to understand the shift from counter-revolutionaries to terrorism as the primary underlying threat. Xinjiang is a region in </w:t>
      </w:r>
      <w:proofErr w:type="gramStart"/>
      <w:r>
        <w:rPr>
          <w:rFonts w:ascii="Times New Roman" w:eastAsia="Times New Roman" w:hAnsi="Times New Roman" w:cs="Times New Roman"/>
          <w:sz w:val="24"/>
          <w:szCs w:val="24"/>
        </w:rPr>
        <w:t>north-eastern</w:t>
      </w:r>
      <w:proofErr w:type="gramEnd"/>
      <w:r>
        <w:rPr>
          <w:rFonts w:ascii="Times New Roman" w:eastAsia="Times New Roman" w:hAnsi="Times New Roman" w:cs="Times New Roman"/>
          <w:sz w:val="24"/>
          <w:szCs w:val="24"/>
        </w:rPr>
        <w:t xml:space="preserve"> China which shares borders with eight countries (Mongolia, Russia, Kazakhstan, Kyrgyz Republic, Afghanistan, Pakistan and India). It is home to 55 of the 56 ethnic groups living in China – a 1953 census showed that 75% of the population was comprised of Uyghurs (10% Kazakh, 6% Han, 9% others). The extent of the </w:t>
      </w:r>
      <w:r>
        <w:rPr>
          <w:rFonts w:ascii="Times New Roman" w:eastAsia="Times New Roman" w:hAnsi="Times New Roman" w:cs="Times New Roman"/>
          <w:sz w:val="24"/>
          <w:szCs w:val="24"/>
        </w:rPr>
        <w:lastRenderedPageBreak/>
        <w:t xml:space="preserve">Uyghur majority had changed dramatically by 1982, where a census revealed a composition of 45% Uyghur, 7% Kazakh and 40% Han (Kozhirova, Khazhmuratova, &amp; Marmontova, p. 75). This shift in ethnic composition reflects specific targeting and promotion of Han in-migration to “increase the stability of the region” (Toops, p. 2). It is worthy to note that the capital of Xinjiang, Urumqi, has a majority Han population (73%), while Uyghurs constitute 9% of the population (2009) (Kozhirova, Khazhmuratova, &amp; Marmontova, p. 75). A caveat to apply to these empirical facts – it should be mentioned that the influx of Han Chinese to Xinjiang has been a strategic position of the Chinese government in hopes that economic development and growth would “assuage separatist inclinations” (Toops, p. 2). This is a response in line with the assumption that poverty and poor socio-economic conditions harbour violence and extremism. Unfortunately, as Roberts argues, these economic opportunities have had little impact on Uyghur livelihoods due to the “ethno-graphic disparity” of the strategy and the “macro-economic nature” (Roberts, The biopolitics of China's "war on terror" and the exclusion of the Uyghurs, p. 237) – economic growth has continued to </w:t>
      </w:r>
      <w:proofErr w:type="gramStart"/>
      <w:r>
        <w:rPr>
          <w:rFonts w:ascii="Times New Roman" w:eastAsia="Times New Roman" w:hAnsi="Times New Roman" w:cs="Times New Roman"/>
          <w:sz w:val="24"/>
          <w:szCs w:val="24"/>
        </w:rPr>
        <w:t>be skewed</w:t>
      </w:r>
      <w:proofErr w:type="gramEnd"/>
      <w:r>
        <w:rPr>
          <w:rFonts w:ascii="Times New Roman" w:eastAsia="Times New Roman" w:hAnsi="Times New Roman" w:cs="Times New Roman"/>
          <w:sz w:val="24"/>
          <w:szCs w:val="24"/>
        </w:rPr>
        <w:t xml:space="preserve"> towards the Han Chinese. Essentially, while Uyghur grievances </w:t>
      </w:r>
      <w:proofErr w:type="gramStart"/>
      <w:r>
        <w:rPr>
          <w:rFonts w:ascii="Times New Roman" w:eastAsia="Times New Roman" w:hAnsi="Times New Roman" w:cs="Times New Roman"/>
          <w:sz w:val="24"/>
          <w:szCs w:val="24"/>
        </w:rPr>
        <w:t>are left</w:t>
      </w:r>
      <w:proofErr w:type="gramEnd"/>
      <w:r>
        <w:rPr>
          <w:rFonts w:ascii="Times New Roman" w:eastAsia="Times New Roman" w:hAnsi="Times New Roman" w:cs="Times New Roman"/>
          <w:sz w:val="24"/>
          <w:szCs w:val="24"/>
        </w:rPr>
        <w:t xml:space="preserve"> largely unaddressed, Han in-migration continues to be encouraged. Many scholars have reflected on this tactic as being characteristic of China’s ‘internal colonialism policies’ (Zhu &amp; Blachford, p. 27) (Finley, p. 22). Further, the strategic in-migration of Han Chinese into the capital of Xinjiang is again reflective of the intended audience of the speech acts.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Considering the historical interactions between Xinjiang and China proper, it </w:t>
      </w:r>
      <w:proofErr w:type="gramStart"/>
      <w:r>
        <w:rPr>
          <w:rFonts w:ascii="Times New Roman" w:eastAsia="Times New Roman" w:hAnsi="Times New Roman" w:cs="Times New Roman"/>
          <w:sz w:val="24"/>
          <w:szCs w:val="24"/>
        </w:rPr>
        <w:t>can be observed</w:t>
      </w:r>
      <w:proofErr w:type="gramEnd"/>
      <w:r>
        <w:rPr>
          <w:rFonts w:ascii="Times New Roman" w:eastAsia="Times New Roman" w:hAnsi="Times New Roman" w:cs="Times New Roman"/>
          <w:sz w:val="24"/>
          <w:szCs w:val="24"/>
        </w:rPr>
        <w:t xml:space="preserve"> that China has dealt with Xinjiang through the prism of security for many years and across several governments (Trédaniel &amp; Lee, p. 182). The Qing, Republican and Communist governments have had common governing ideologies with respect to the </w:t>
      </w:r>
      <w:proofErr w:type="gramStart"/>
      <w:r>
        <w:rPr>
          <w:rFonts w:ascii="Times New Roman" w:eastAsia="Times New Roman" w:hAnsi="Times New Roman" w:cs="Times New Roman"/>
          <w:sz w:val="24"/>
          <w:szCs w:val="24"/>
        </w:rPr>
        <w:t>north-eastern</w:t>
      </w:r>
      <w:proofErr w:type="gramEnd"/>
      <w:r>
        <w:rPr>
          <w:rFonts w:ascii="Times New Roman" w:eastAsia="Times New Roman" w:hAnsi="Times New Roman" w:cs="Times New Roman"/>
          <w:sz w:val="24"/>
          <w:szCs w:val="24"/>
        </w:rPr>
        <w:t xml:space="preserve"> frontier – national security has dominated the security discourse due to the vulnerable (internal and external) geographical and ethnographical aspects of Xinjiang. The region has been subject to ‘foreign </w:t>
      </w:r>
      <w:r>
        <w:rPr>
          <w:rFonts w:ascii="Times New Roman" w:eastAsia="Times New Roman" w:hAnsi="Times New Roman" w:cs="Times New Roman"/>
          <w:sz w:val="24"/>
          <w:szCs w:val="24"/>
        </w:rPr>
        <w:lastRenderedPageBreak/>
        <w:t xml:space="preserve">influences’ historically, whether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the emergence of pan-Turkism, to the hold of the Soviet Union on Xinjiang, to seizure of Qing control by local warlords. The contingency of Xinjiang is reflected in Chinese historiography – its people are commonly referred to as “KuagoMinzu,” trans-state people or “KuatszinMinzu,” cross-border nations (i.e. people living on both sides of the border) – this anthropological demarcation is significant in the ‘othering’ of the Uyghurs (Kozhirova, Khazhmuratova, &amp; Marmontova, p. 75). These influences have, in one form or the other, shaped threats to Chinese sovereignty and territorial integrity. Drawing again on Chilton, the precarious geopolitical context of Xinjiang has been presented as a potential ‘breach in security’ – its proximity both internally (through ethnopolitical identities) and externally (too strong regional competitors with similar identity profiles) has maintained its status as a national security concern to China.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referent of securitization has remained the same in Xinjiang, the underlying reasons, i.e. the charge, have changed. Historically, security threats to China </w:t>
      </w:r>
      <w:proofErr w:type="gramStart"/>
      <w:r>
        <w:rPr>
          <w:rFonts w:ascii="Times New Roman" w:eastAsia="Times New Roman" w:hAnsi="Times New Roman" w:cs="Times New Roman"/>
          <w:sz w:val="24"/>
          <w:szCs w:val="24"/>
        </w:rPr>
        <w:t>have been primarily focused</w:t>
      </w:r>
      <w:proofErr w:type="gramEnd"/>
      <w:r>
        <w:rPr>
          <w:rFonts w:ascii="Times New Roman" w:eastAsia="Times New Roman" w:hAnsi="Times New Roman" w:cs="Times New Roman"/>
          <w:sz w:val="24"/>
          <w:szCs w:val="24"/>
        </w:rPr>
        <w:t xml:space="preserve"> on “civilizational hierarchy” rather than “power differentials.” In the case of Xinjiang, Uyghurs, who are ethnically Turkic, are non-Sinicized people (i.e. who are less civilized according to Confucian Chinese) and therefore have been historically perceived as an existential threat. Separatism </w:t>
      </w:r>
      <w:proofErr w:type="gramStart"/>
      <w:r>
        <w:rPr>
          <w:rFonts w:ascii="Times New Roman" w:eastAsia="Times New Roman" w:hAnsi="Times New Roman" w:cs="Times New Roman"/>
          <w:sz w:val="24"/>
          <w:szCs w:val="24"/>
        </w:rPr>
        <w:t>has also been securitized</w:t>
      </w:r>
      <w:proofErr w:type="gramEnd"/>
      <w:r>
        <w:rPr>
          <w:rFonts w:ascii="Times New Roman" w:eastAsia="Times New Roman" w:hAnsi="Times New Roman" w:cs="Times New Roman"/>
          <w:sz w:val="24"/>
          <w:szCs w:val="24"/>
        </w:rPr>
        <w:t xml:space="preserve"> as it has been viewed as a threat to Chinese sovereignty and territorial integrity (Trédaniel &amp; Lee, 2018). The shifts in discourse </w:t>
      </w:r>
      <w:proofErr w:type="gramStart"/>
      <w:r>
        <w:rPr>
          <w:rFonts w:ascii="Times New Roman" w:eastAsia="Times New Roman" w:hAnsi="Times New Roman" w:cs="Times New Roman"/>
          <w:sz w:val="24"/>
          <w:szCs w:val="24"/>
        </w:rPr>
        <w:t>can be mapped</w:t>
      </w:r>
      <w:proofErr w:type="gramEnd"/>
      <w:r>
        <w:rPr>
          <w:rFonts w:ascii="Times New Roman" w:eastAsia="Times New Roman" w:hAnsi="Times New Roman" w:cs="Times New Roman"/>
          <w:sz w:val="24"/>
          <w:szCs w:val="24"/>
        </w:rPr>
        <w:t xml:space="preserve"> as follows: in the 1980’s, Xinjiang experiences a brief period of liberalism, which ends as the PRC becomes increasingly concerned with the potential for national liberation movements. This is in light of the Baren Uprising of 1990, which signifies the beginning of anti-separatist campaigns run by the PRC. The late 80’s </w:t>
      </w:r>
      <w:proofErr w:type="gramStart"/>
      <w:r>
        <w:rPr>
          <w:rFonts w:ascii="Times New Roman" w:eastAsia="Times New Roman" w:hAnsi="Times New Roman" w:cs="Times New Roman"/>
          <w:sz w:val="24"/>
          <w:szCs w:val="24"/>
        </w:rPr>
        <w:t>is further characterized</w:t>
      </w:r>
      <w:proofErr w:type="gramEnd"/>
      <w:r>
        <w:rPr>
          <w:rFonts w:ascii="Times New Roman" w:eastAsia="Times New Roman" w:hAnsi="Times New Roman" w:cs="Times New Roman"/>
          <w:sz w:val="24"/>
          <w:szCs w:val="24"/>
        </w:rPr>
        <w:t xml:space="preserve"> by insecurity in reaction to the fall of the USSR and the resulting independence of Central Asian states in 1991. Throughout the 90’s, the PRC launched a series of security campaigns that sought to combat Uyghur separatism, which increased in </w:t>
      </w:r>
      <w:r>
        <w:rPr>
          <w:rFonts w:ascii="Times New Roman" w:eastAsia="Times New Roman" w:hAnsi="Times New Roman" w:cs="Times New Roman"/>
          <w:sz w:val="24"/>
          <w:szCs w:val="24"/>
        </w:rPr>
        <w:lastRenderedPageBreak/>
        <w:t xml:space="preserve">intensity over the course of the decade. By the early 2000’s, Uyghurs were increasingly confronted with repressive </w:t>
      </w:r>
      <w:proofErr w:type="gramStart"/>
      <w:r>
        <w:rPr>
          <w:rFonts w:ascii="Times New Roman" w:eastAsia="Times New Roman" w:hAnsi="Times New Roman" w:cs="Times New Roman"/>
          <w:sz w:val="24"/>
          <w:szCs w:val="24"/>
        </w:rPr>
        <w:t>policies,</w:t>
      </w:r>
      <w:proofErr w:type="gramEnd"/>
      <w:r>
        <w:rPr>
          <w:rFonts w:ascii="Times New Roman" w:eastAsia="Times New Roman" w:hAnsi="Times New Roman" w:cs="Times New Roman"/>
          <w:sz w:val="24"/>
          <w:szCs w:val="24"/>
        </w:rPr>
        <w:t xml:space="preserve"> however, it was during a period of relative stability that China began counter-terrorism measures (Roberts, 2018). </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GWOT Implications in Beijing’s Securitization of Xinjiang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general, although the context of 9/11 </w:t>
      </w:r>
      <w:proofErr w:type="gramStart"/>
      <w:r>
        <w:rPr>
          <w:rFonts w:ascii="Times New Roman" w:eastAsia="Times New Roman" w:hAnsi="Times New Roman" w:cs="Times New Roman"/>
          <w:sz w:val="24"/>
          <w:szCs w:val="24"/>
        </w:rPr>
        <w:t>hasn’t</w:t>
      </w:r>
      <w:proofErr w:type="gramEnd"/>
      <w:r>
        <w:rPr>
          <w:rFonts w:ascii="Times New Roman" w:eastAsia="Times New Roman" w:hAnsi="Times New Roman" w:cs="Times New Roman"/>
          <w:sz w:val="24"/>
          <w:szCs w:val="24"/>
        </w:rPr>
        <w:t xml:space="preserve"> resulted in the emergence of new theories, it has allowed for the rise of a “new political landscape upon which to maneuver” (Larrinaga &amp; Salter, p. 14). This logic </w:t>
      </w:r>
      <w:proofErr w:type="gramStart"/>
      <w:r>
        <w:rPr>
          <w:rFonts w:ascii="Times New Roman" w:eastAsia="Times New Roman" w:hAnsi="Times New Roman" w:cs="Times New Roman"/>
          <w:sz w:val="24"/>
          <w:szCs w:val="24"/>
        </w:rPr>
        <w:t>can also be applied</w:t>
      </w:r>
      <w:proofErr w:type="gramEnd"/>
      <w:r>
        <w:rPr>
          <w:rFonts w:ascii="Times New Roman" w:eastAsia="Times New Roman" w:hAnsi="Times New Roman" w:cs="Times New Roman"/>
          <w:sz w:val="24"/>
          <w:szCs w:val="24"/>
        </w:rPr>
        <w:t xml:space="preserve"> to the context of Xinjiang securitization. Per Rodríguez-Merino, the Copenhagen School enables scholars to understand how the GWOT discourse </w:t>
      </w:r>
      <w:proofErr w:type="gramStart"/>
      <w:r>
        <w:rPr>
          <w:rFonts w:ascii="Times New Roman" w:eastAsia="Times New Roman" w:hAnsi="Times New Roman" w:cs="Times New Roman"/>
          <w:sz w:val="24"/>
          <w:szCs w:val="24"/>
        </w:rPr>
        <w:t>is used</w:t>
      </w:r>
      <w:proofErr w:type="gramEnd"/>
      <w:r>
        <w:rPr>
          <w:rFonts w:ascii="Times New Roman" w:eastAsia="Times New Roman" w:hAnsi="Times New Roman" w:cs="Times New Roman"/>
          <w:sz w:val="24"/>
          <w:szCs w:val="24"/>
        </w:rPr>
        <w:t xml:space="preserve"> to “legitimize domestic policies in front of international audiences.” Using Buzan and Waever’s “universalist grounds,” referent objects become embroiled in the process of macro-securitization – “localized conflicts” </w:t>
      </w:r>
      <w:proofErr w:type="gramStart"/>
      <w:r>
        <w:rPr>
          <w:rFonts w:ascii="Times New Roman" w:eastAsia="Times New Roman" w:hAnsi="Times New Roman" w:cs="Times New Roman"/>
          <w:sz w:val="24"/>
          <w:szCs w:val="24"/>
        </w:rPr>
        <w:t>are re-framed</w:t>
      </w:r>
      <w:proofErr w:type="gramEnd"/>
      <w:r>
        <w:rPr>
          <w:rFonts w:ascii="Times New Roman" w:eastAsia="Times New Roman" w:hAnsi="Times New Roman" w:cs="Times New Roman"/>
          <w:sz w:val="24"/>
          <w:szCs w:val="24"/>
        </w:rPr>
        <w:t xml:space="preserve"> within the wider context of the truly global war on terrorism. This </w:t>
      </w:r>
      <w:proofErr w:type="gramStart"/>
      <w:r>
        <w:rPr>
          <w:rFonts w:ascii="Times New Roman" w:eastAsia="Times New Roman" w:hAnsi="Times New Roman" w:cs="Times New Roman"/>
          <w:sz w:val="24"/>
          <w:szCs w:val="24"/>
        </w:rPr>
        <w:t>is best captured</w:t>
      </w:r>
      <w:proofErr w:type="gramEnd"/>
      <w:r>
        <w:rPr>
          <w:rFonts w:ascii="Times New Roman" w:eastAsia="Times New Roman" w:hAnsi="Times New Roman" w:cs="Times New Roman"/>
          <w:sz w:val="24"/>
          <w:szCs w:val="24"/>
        </w:rPr>
        <w:t xml:space="preserve"> by Rodríguez-Merino’s discussion on the “amplifying effect” of GWOT on Beijing’s construction of terrorism. He reasons that this amplification occurred through four ways – first, the PRC moved from selectively employing the language of ‘terror’ to its “blanket deployment” in a post 9/11 context. Second, Chinese authorities began publicizing unrest in Xinjiang. Third, there was an implicit re-framing (and re-writing) of historic events of violence as constituting early forms of terrorism. Finally, the Chinese government framed their “domestic threat of terrorism” as being on par with the global threat of terrorism (Rodríguez-Merino, p. 31).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amplification </w:t>
      </w:r>
      <w:proofErr w:type="gramStart"/>
      <w:r>
        <w:rPr>
          <w:rFonts w:ascii="Times New Roman" w:eastAsia="Times New Roman" w:hAnsi="Times New Roman" w:cs="Times New Roman"/>
          <w:sz w:val="24"/>
          <w:szCs w:val="24"/>
        </w:rPr>
        <w:t>is best understood</w:t>
      </w:r>
      <w:proofErr w:type="gramEnd"/>
      <w:r>
        <w:rPr>
          <w:rFonts w:ascii="Times New Roman" w:eastAsia="Times New Roman" w:hAnsi="Times New Roman" w:cs="Times New Roman"/>
          <w:sz w:val="24"/>
          <w:szCs w:val="24"/>
        </w:rPr>
        <w:t xml:space="preserve"> through the examination of violent incidents, specifically how they were represented in official government statements and state media. The Ghulja incident of 1997, for example, was described as “beating, looting and destruction” by protestors who were attempting to seize power. In contrast, the Urumqi Riots of 2009, which was similar to Ghulja in that both began as nonviolent forms of protest, </w:t>
      </w:r>
      <w:proofErr w:type="gramStart"/>
      <w:r>
        <w:rPr>
          <w:rFonts w:ascii="Times New Roman" w:eastAsia="Times New Roman" w:hAnsi="Times New Roman" w:cs="Times New Roman"/>
          <w:sz w:val="24"/>
          <w:szCs w:val="24"/>
        </w:rPr>
        <w:t>were blamed</w:t>
      </w:r>
      <w:proofErr w:type="gramEnd"/>
      <w:r>
        <w:rPr>
          <w:rFonts w:ascii="Times New Roman" w:eastAsia="Times New Roman" w:hAnsi="Times New Roman" w:cs="Times New Roman"/>
          <w:sz w:val="24"/>
          <w:szCs w:val="24"/>
        </w:rPr>
        <w:t xml:space="preserve"> on ‘terrorist </w:t>
      </w:r>
      <w:r>
        <w:rPr>
          <w:rFonts w:ascii="Times New Roman" w:eastAsia="Times New Roman" w:hAnsi="Times New Roman" w:cs="Times New Roman"/>
          <w:sz w:val="24"/>
          <w:szCs w:val="24"/>
        </w:rPr>
        <w:lastRenderedPageBreak/>
        <w:t>forces’ (Rodríguez-Merino, p. 31). This represents the shift in Chinese discourse – in a post 9/11 context, the “three gangs of forces,” (ethnic) separatism, (religious) extremism, and terrorism were newly emphasized (Trédaniel &amp; Lee, p. 183).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amplification </w:t>
      </w:r>
      <w:proofErr w:type="gramStart"/>
      <w:r>
        <w:rPr>
          <w:rFonts w:ascii="Times New Roman" w:eastAsia="Times New Roman" w:hAnsi="Times New Roman" w:cs="Times New Roman"/>
          <w:sz w:val="24"/>
          <w:szCs w:val="24"/>
        </w:rPr>
        <w:t>is found</w:t>
      </w:r>
      <w:proofErr w:type="gramEnd"/>
      <w:r>
        <w:rPr>
          <w:rFonts w:ascii="Times New Roman" w:eastAsia="Times New Roman" w:hAnsi="Times New Roman" w:cs="Times New Roman"/>
          <w:sz w:val="24"/>
          <w:szCs w:val="24"/>
        </w:rPr>
        <w:t xml:space="preserve"> in Chinese disclosure of unrest in Xinjiang. This disclosure started with the report ‘East Turkistan Terrorist Forces Cannot Get Away with Impunity’ – it bolstered the presence of terrorism in Xinjiang, reporting previously undisclosed violent incidents that were now framed as being a part of the GWOT framework. Within this strategy, there are two implicit assumptions that constitute the third and fourth aspects stated. First, that if the Chinese government were to disclose previously unreported events in a report on terrorism, then this would entail a re-framing of past events in a new framework. More troublingly, multiple sources have reported on this re-imagination and retro-construction of terrorism in past events – Trédaniel and Lee cite an example from 2015: </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China’s state media in November 2015 reported an attack in a </w:t>
      </w:r>
      <w:proofErr w:type="gramStart"/>
      <w:r>
        <w:rPr>
          <w:rFonts w:ascii="Times New Roman" w:eastAsia="Times New Roman" w:hAnsi="Times New Roman" w:cs="Times New Roman"/>
          <w:sz w:val="24"/>
          <w:szCs w:val="24"/>
        </w:rPr>
        <w:t>coal mine</w:t>
      </w:r>
      <w:proofErr w:type="gramEnd"/>
      <w:r>
        <w:rPr>
          <w:rFonts w:ascii="Times New Roman" w:eastAsia="Times New Roman" w:hAnsi="Times New Roman" w:cs="Times New Roman"/>
          <w:sz w:val="24"/>
          <w:szCs w:val="24"/>
        </w:rPr>
        <w:t xml:space="preserve"> in Xinjiang’s Baicheng county that was estimated to have killed more than 50 people and attributed it to terrorism. However, the deadly attack indeed took place in mid-September, and the Chinese media did not disclose it until shortly after a series of terrorist attacks in Paris on 13 November 2015. (Trédaniel &amp; Lee, p. 177)</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example illustrates the deliberate framing of violence within the framework of the broader global war on terror. More specifically, evidence such as this is indicative of the purposeful amplification that the PRC government has employed in Xinjiang with respect to securitization. The second assumption is that China’s disclosure of events framed within the GWOT would imply that there is a broader, global call towards the securitization of Uyghurs – in a sense, this both justifies Chinese policies but also appeals to fights against global terrorism. </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Drawing on some of the elements of the GWOT framework discussed earlier, this paper consider another implication on securitization in Xinjiang. With previous labels, such as separatists, Beijing was able to securitize and de-securitize sections of the Xinjiang population that it had identified as being part of the target group. Separatists, for example, had the potential to re-integrate into society as new loyalists. The issue with terrorism is the supposed permanence (at least for now) of the label – the embedded historical context (and therefore justified grievances) of the Uyghurs are erased, or circumvented by association with terrorism. Not only is their past re-written, but their future too, seems suspended – as the West is now facing issues with re-integrating extremist terrorists into society justly, so too will Beijing if Xinjiang ever ceases to pose as a threat.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permanence points to the metaphorical elephant in this paper – what is currently taking place in Xinjiang </w:t>
      </w:r>
      <w:proofErr w:type="gramStart"/>
      <w:r>
        <w:rPr>
          <w:rFonts w:ascii="Times New Roman" w:eastAsia="Times New Roman" w:hAnsi="Times New Roman" w:cs="Times New Roman"/>
          <w:sz w:val="24"/>
          <w:szCs w:val="24"/>
        </w:rPr>
        <w:t>with regards to</w:t>
      </w:r>
      <w:proofErr w:type="gramEnd"/>
      <w:r>
        <w:rPr>
          <w:rFonts w:ascii="Times New Roman" w:eastAsia="Times New Roman" w:hAnsi="Times New Roman" w:cs="Times New Roman"/>
          <w:sz w:val="24"/>
          <w:szCs w:val="24"/>
        </w:rPr>
        <w:t xml:space="preserve"> the implementation of their security policies? Unsurprisingly, not many academic papers have discussed the lengthy implications of Beijing’s security policies. Accounts are difficult </w:t>
      </w:r>
      <w:proofErr w:type="gramStart"/>
      <w:r>
        <w:rPr>
          <w:rFonts w:ascii="Times New Roman" w:eastAsia="Times New Roman" w:hAnsi="Times New Roman" w:cs="Times New Roman"/>
          <w:sz w:val="24"/>
          <w:szCs w:val="24"/>
        </w:rPr>
        <w:t>to independently verify</w:t>
      </w:r>
      <w:proofErr w:type="gramEnd"/>
      <w:r>
        <w:rPr>
          <w:rFonts w:ascii="Times New Roman" w:eastAsia="Times New Roman" w:hAnsi="Times New Roman" w:cs="Times New Roman"/>
          <w:sz w:val="24"/>
          <w:szCs w:val="24"/>
        </w:rPr>
        <w:t xml:space="preserve"> given the heavy media repression imposed region-wide, and much of it is shrouded in secrecy. What is evident, however, is that the Chinese government has </w:t>
      </w:r>
      <w:proofErr w:type="gramStart"/>
      <w:r>
        <w:rPr>
          <w:rFonts w:ascii="Times New Roman" w:eastAsia="Times New Roman" w:hAnsi="Times New Roman" w:cs="Times New Roman"/>
          <w:sz w:val="24"/>
          <w:szCs w:val="24"/>
        </w:rPr>
        <w:t>crafted</w:t>
      </w:r>
      <w:proofErr w:type="gramEnd"/>
      <w:r>
        <w:rPr>
          <w:rFonts w:ascii="Times New Roman" w:eastAsia="Times New Roman" w:hAnsi="Times New Roman" w:cs="Times New Roman"/>
          <w:sz w:val="24"/>
          <w:szCs w:val="24"/>
        </w:rPr>
        <w:t xml:space="preserve"> a social (but also physical re: infrastructure) panopticon that is beyond Foucault’s wildest imagination. The ultimate security state in Xinjiang has been slowly developed over the </w:t>
      </w:r>
      <w:proofErr w:type="gramStart"/>
      <w:r>
        <w:rPr>
          <w:rFonts w:ascii="Times New Roman" w:eastAsia="Times New Roman" w:hAnsi="Times New Roman" w:cs="Times New Roman"/>
          <w:sz w:val="24"/>
          <w:szCs w:val="24"/>
        </w:rPr>
        <w:t>years,</w:t>
      </w:r>
      <w:proofErr w:type="gramEnd"/>
      <w:r>
        <w:rPr>
          <w:rFonts w:ascii="Times New Roman" w:eastAsia="Times New Roman" w:hAnsi="Times New Roman" w:cs="Times New Roman"/>
          <w:sz w:val="24"/>
          <w:szCs w:val="24"/>
        </w:rPr>
        <w:t xml:space="preserve"> it consists of a multi-pronged approach – deep state surveillance, large-scale internment camps, and specific targeting of religious objects. </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Roberts has observed that counter-terrorism legislation passed in 2015 defines “terrorism, terrorist activity and terrorist organizations” in such a way that it provides a blanket criminalization of any Uyghur “dissent or religiosity as well…cultural traditions as signs of terrorism or extremism” (Roberts, p. 246). This legislation </w:t>
      </w:r>
      <w:proofErr w:type="gramStart"/>
      <w:r>
        <w:rPr>
          <w:rFonts w:ascii="Times New Roman" w:eastAsia="Times New Roman" w:hAnsi="Times New Roman" w:cs="Times New Roman"/>
          <w:sz w:val="24"/>
          <w:szCs w:val="24"/>
        </w:rPr>
        <w:t>was supplemented</w:t>
      </w:r>
      <w:proofErr w:type="gramEnd"/>
      <w:r>
        <w:rPr>
          <w:rFonts w:ascii="Times New Roman" w:eastAsia="Times New Roman" w:hAnsi="Times New Roman" w:cs="Times New Roman"/>
          <w:sz w:val="24"/>
          <w:szCs w:val="24"/>
        </w:rPr>
        <w:t xml:space="preserve"> by “de-extremification regulations,” which specifically target “public expressions of Islam” and provide legal justification for the policing of “Uyghurs’ thoughts, appearance and behavior.” Speech, actions, physical appearances and </w:t>
      </w:r>
      <w:r>
        <w:rPr>
          <w:rFonts w:ascii="Times New Roman" w:eastAsia="Times New Roman" w:hAnsi="Times New Roman" w:cs="Times New Roman"/>
          <w:sz w:val="24"/>
          <w:szCs w:val="24"/>
        </w:rPr>
        <w:lastRenderedPageBreak/>
        <w:t xml:space="preserve">behaviours are criminalized and brought down to the level of the community – the population as a whole is asked to “root out the extremified among them” (Roberts, p. 246). Mobility has been limited, in 2016 authorities announced that residents had to “submit their passports for review” to the Public Security Bureau. As well, the number of forced disappearances has increased, many of which have comprised of ethnically Uyghur students studying abroad (Bunin, 2019). The use of technology has amplified the possibilities of the panopticon in Xinjiang – “unprecedented levels of surveillance” </w:t>
      </w:r>
      <w:proofErr w:type="gramStart"/>
      <w:r>
        <w:rPr>
          <w:rFonts w:ascii="Times New Roman" w:eastAsia="Times New Roman" w:hAnsi="Times New Roman" w:cs="Times New Roman"/>
          <w:sz w:val="24"/>
          <w:szCs w:val="24"/>
        </w:rPr>
        <w:t>have been observed</w:t>
      </w:r>
      <w:proofErr w:type="gramEnd"/>
      <w:r>
        <w:rPr>
          <w:rFonts w:ascii="Times New Roman" w:eastAsia="Times New Roman" w:hAnsi="Times New Roman" w:cs="Times New Roman"/>
          <w:sz w:val="24"/>
          <w:szCs w:val="24"/>
        </w:rPr>
        <w:t xml:space="preserve"> – from spyware applications that record suspicious messages and data, to GPS trackers on cars, to the grid-based-system of physical checkpoints, to the network of surveillance cameras that employ facial recognition software. Furthermore, there are reports of the development of a “genetic database of all residents,” using the capturing of </w:t>
      </w:r>
      <w:proofErr w:type="gramStart"/>
      <w:r>
        <w:rPr>
          <w:rFonts w:ascii="Times New Roman" w:eastAsia="Times New Roman" w:hAnsi="Times New Roman" w:cs="Times New Roman"/>
          <w:sz w:val="24"/>
          <w:szCs w:val="24"/>
        </w:rPr>
        <w:t>bio-metric</w:t>
      </w:r>
      <w:proofErr w:type="gramEnd"/>
      <w:r>
        <w:rPr>
          <w:rFonts w:ascii="Times New Roman" w:eastAsia="Times New Roman" w:hAnsi="Times New Roman" w:cs="Times New Roman"/>
          <w:sz w:val="24"/>
          <w:szCs w:val="24"/>
        </w:rPr>
        <w:t xml:space="preserve"> data and genetic samples.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and Yuan discuss how insecurity linked to terrorism </w:t>
      </w:r>
      <w:proofErr w:type="gramStart"/>
      <w:r>
        <w:rPr>
          <w:rFonts w:ascii="Times New Roman" w:eastAsia="Times New Roman" w:hAnsi="Times New Roman" w:cs="Times New Roman"/>
          <w:sz w:val="24"/>
          <w:szCs w:val="24"/>
        </w:rPr>
        <w:t>is based</w:t>
      </w:r>
      <w:proofErr w:type="gramEnd"/>
      <w:r>
        <w:rPr>
          <w:rFonts w:ascii="Times New Roman" w:eastAsia="Times New Roman" w:hAnsi="Times New Roman" w:cs="Times New Roman"/>
          <w:sz w:val="24"/>
          <w:szCs w:val="24"/>
        </w:rPr>
        <w:t xml:space="preserve"> more on the potential rather than the actual (Liu &amp; Yuan, p. 31). That is, China’s securitization is constructed on the notion of the ‘unknown unknowns’ – but this has implications for the melding of GWOT securitization and the “mundane life of individuals.” When security practices are so intimately intertwined with public, everyday spaces, security becomes more than “state-sponsored discourse,” instead of becoming more “civil, urban and personal.” It is perhaps a closer understanding of Xinjiang securitization, how it has affected the everyday spaces that </w:t>
      </w:r>
      <w:proofErr w:type="gramStart"/>
      <w:r>
        <w:rPr>
          <w:rFonts w:ascii="Times New Roman" w:eastAsia="Times New Roman" w:hAnsi="Times New Roman" w:cs="Times New Roman"/>
          <w:sz w:val="24"/>
          <w:szCs w:val="24"/>
        </w:rPr>
        <w:t>are needed</w:t>
      </w:r>
      <w:proofErr w:type="gramEnd"/>
      <w:r>
        <w:rPr>
          <w:rFonts w:ascii="Times New Roman" w:eastAsia="Times New Roman" w:hAnsi="Times New Roman" w:cs="Times New Roman"/>
          <w:sz w:val="24"/>
          <w:szCs w:val="24"/>
        </w:rPr>
        <w:t xml:space="preserve"> in order to garner significant attention to the violations taking place. </w:t>
      </w:r>
    </w:p>
    <w:p w:rsidR="00C30C8B" w:rsidRDefault="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natural conclusion to ‘securitization’ </w:t>
      </w:r>
      <w:proofErr w:type="gramStart"/>
      <w:r>
        <w:rPr>
          <w:rFonts w:ascii="Times New Roman" w:eastAsia="Times New Roman" w:hAnsi="Times New Roman" w:cs="Times New Roman"/>
          <w:sz w:val="24"/>
          <w:szCs w:val="24"/>
        </w:rPr>
        <w:t>is addressed</w:t>
      </w:r>
      <w:proofErr w:type="gramEnd"/>
      <w:r>
        <w:rPr>
          <w:rFonts w:ascii="Times New Roman" w:eastAsia="Times New Roman" w:hAnsi="Times New Roman" w:cs="Times New Roman"/>
          <w:sz w:val="24"/>
          <w:szCs w:val="24"/>
        </w:rPr>
        <w:t xml:space="preserve"> in the Copenhagen School as the process of ‘de-securitization.’ That is, the “return of an issue from urgent, securitized situation to the area of normal negotiations” in the domain of politics (Putnik &amp; Miloševic, 2017). Throughout this paper, there have been suggestions that securitization of the Uyghurs and the GWOT discourse </w:t>
      </w:r>
      <w:r>
        <w:rPr>
          <w:rFonts w:ascii="Times New Roman" w:eastAsia="Times New Roman" w:hAnsi="Times New Roman" w:cs="Times New Roman"/>
          <w:sz w:val="24"/>
          <w:szCs w:val="24"/>
        </w:rPr>
        <w:lastRenderedPageBreak/>
        <w:t xml:space="preserve">applied to them is irreconcilable, and this perhaps best understood in discussing a possible de-escalation of security. The GWOT rhetoric perpetuates the idea of an enemy that is known but unknown. The issue with attempting to de-securitize an idea that is unsophisticated, unorganized and scattered is that it is everywhere and nowhere. In this sense, de-securitization would not be viable in Xinjiang in the same way that it has not yet been viable for any of the security approaches that the West has perpetrated globally in the name of the war on terror. The paper began with a puzzle of whether the framework of the Global War on Terror has any significant implications (i.e. of irreconcilability) with the Copenhagen school’s securitization theory. By examining some of the inherent weaknesses of securitization theory, this paper considered how GWOT discourse has led to the amplification of Beijing’s securitization. It has produced ineffective security measures whereby Uyghur extremism has not (and cannot) be addressed, and where de-securitization </w:t>
      </w:r>
      <w:proofErr w:type="gramStart"/>
      <w:r>
        <w:rPr>
          <w:rFonts w:ascii="Times New Roman" w:eastAsia="Times New Roman" w:hAnsi="Times New Roman" w:cs="Times New Roman"/>
          <w:sz w:val="24"/>
          <w:szCs w:val="24"/>
        </w:rPr>
        <w:t>is left</w:t>
      </w:r>
      <w:proofErr w:type="gramEnd"/>
      <w:r>
        <w:rPr>
          <w:rFonts w:ascii="Times New Roman" w:eastAsia="Times New Roman" w:hAnsi="Times New Roman" w:cs="Times New Roman"/>
          <w:sz w:val="24"/>
          <w:szCs w:val="24"/>
        </w:rPr>
        <w:t xml:space="preserve"> questionable, particularly given current failed Western attempts at de-securitizing their own GWOT terrorists. In essence, it is evident that securitization has not been effective in addressing Uyghur discontent – it has not taken into account Uyghur counter-securitization measures, nor the Han Chinese communities elevated expectations towards state responses, nor the effects of employing ‘terrorism’ within the broader scope of the global war on terror. </w:t>
      </w: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1E516C">
      <w:pPr>
        <w:tabs>
          <w:tab w:val="left" w:pos="1777"/>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30C8B" w:rsidRDefault="00C30C8B">
      <w:pPr>
        <w:tabs>
          <w:tab w:val="left" w:pos="1777"/>
        </w:tabs>
        <w:spacing w:line="480" w:lineRule="auto"/>
        <w:jc w:val="both"/>
        <w:rPr>
          <w:rFonts w:ascii="Times New Roman" w:eastAsia="Times New Roman" w:hAnsi="Times New Roman" w:cs="Times New Roman"/>
          <w:sz w:val="24"/>
          <w:szCs w:val="24"/>
        </w:rPr>
      </w:pPr>
    </w:p>
    <w:p w:rsidR="00C30C8B" w:rsidRDefault="00C30C8B">
      <w:pPr>
        <w:tabs>
          <w:tab w:val="left" w:pos="1777"/>
        </w:tabs>
        <w:spacing w:line="480" w:lineRule="auto"/>
        <w:jc w:val="both"/>
        <w:rPr>
          <w:rFonts w:ascii="Times New Roman" w:eastAsia="Times New Roman" w:hAnsi="Times New Roman" w:cs="Times New Roman"/>
          <w:sz w:val="24"/>
          <w:szCs w:val="24"/>
        </w:rPr>
      </w:pPr>
    </w:p>
    <w:p w:rsidR="00C30C8B" w:rsidRDefault="001E516C">
      <w:pPr>
        <w:tabs>
          <w:tab w:val="left" w:pos="1777"/>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114300" distR="114300">
            <wp:extent cx="5943600" cy="807402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6"/>
                    <a:srcRect/>
                    <a:stretch>
                      <a:fillRect/>
                    </a:stretch>
                  </pic:blipFill>
                  <pic:spPr>
                    <a:xfrm>
                      <a:off x="0" y="0"/>
                      <a:ext cx="5943600" cy="8074025"/>
                    </a:xfrm>
                    <a:prstGeom prst="rect">
                      <a:avLst/>
                    </a:prstGeom>
                    <a:ln/>
                  </pic:spPr>
                </pic:pic>
              </a:graphicData>
            </a:graphic>
          </wp:inline>
        </w:drawing>
      </w:r>
      <w:r>
        <w:rPr>
          <w:rFonts w:ascii="Times New Roman" w:eastAsia="Times New Roman" w:hAnsi="Times New Roman" w:cs="Times New Roman"/>
          <w:b/>
          <w:sz w:val="24"/>
          <w:szCs w:val="24"/>
        </w:rPr>
        <w:lastRenderedPageBreak/>
        <w:t>Biography</w:t>
      </w:r>
    </w:p>
    <w:p w:rsidR="00C30C8B" w:rsidRDefault="002305C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Anoosheh Majidi Ge</w:t>
      </w:r>
      <w:bookmarkStart w:id="3" w:name="_GoBack"/>
      <w:bookmarkEnd w:id="3"/>
      <w:r w:rsidR="001E516C">
        <w:rPr>
          <w:rFonts w:ascii="Times New Roman" w:eastAsia="Times New Roman" w:hAnsi="Times New Roman" w:cs="Times New Roman"/>
          <w:sz w:val="24"/>
          <w:szCs w:val="24"/>
        </w:rPr>
        <w:t xml:space="preserve">rdeh is a fourth year Political Science student at the University </w:t>
      </w:r>
      <w:proofErr w:type="gramStart"/>
      <w:r w:rsidR="001E516C">
        <w:rPr>
          <w:rFonts w:ascii="Times New Roman" w:eastAsia="Times New Roman" w:hAnsi="Times New Roman" w:cs="Times New Roman"/>
          <w:sz w:val="24"/>
          <w:szCs w:val="24"/>
        </w:rPr>
        <w:t>of</w:t>
      </w:r>
      <w:proofErr w:type="gramEnd"/>
      <w:r w:rsidR="001E516C">
        <w:rPr>
          <w:rFonts w:ascii="Times New Roman" w:eastAsia="Times New Roman" w:hAnsi="Times New Roman" w:cs="Times New Roman"/>
          <w:sz w:val="24"/>
          <w:szCs w:val="24"/>
        </w:rPr>
        <w:t xml:space="preserve"> Ottawa, Canada. Her research interests include International </w:t>
      </w:r>
      <w:proofErr w:type="gramStart"/>
      <w:r w:rsidR="001E516C">
        <w:rPr>
          <w:rFonts w:ascii="Times New Roman" w:eastAsia="Times New Roman" w:hAnsi="Times New Roman" w:cs="Times New Roman"/>
          <w:sz w:val="24"/>
          <w:szCs w:val="24"/>
        </w:rPr>
        <w:t>Relations ,</w:t>
      </w:r>
      <w:proofErr w:type="gramEnd"/>
      <w:r w:rsidR="001E516C">
        <w:rPr>
          <w:rFonts w:ascii="Times New Roman" w:eastAsia="Times New Roman" w:hAnsi="Times New Roman" w:cs="Times New Roman"/>
          <w:sz w:val="24"/>
          <w:szCs w:val="24"/>
        </w:rPr>
        <w:t xml:space="preserve"> Cyber Security, Post-colonialism and minority rights. She is currently working for the Government of Canada</w:t>
      </w: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480" w:lineRule="auto"/>
        <w:jc w:val="both"/>
        <w:rPr>
          <w:rFonts w:ascii="Times New Roman" w:eastAsia="Times New Roman" w:hAnsi="Times New Roman" w:cs="Times New Roman"/>
          <w:sz w:val="24"/>
          <w:szCs w:val="24"/>
        </w:rPr>
      </w:pPr>
    </w:p>
    <w:p w:rsidR="00C30C8B" w:rsidRDefault="00C30C8B">
      <w:pPr>
        <w:spacing w:line="240" w:lineRule="auto"/>
        <w:rPr>
          <w:rFonts w:ascii="Calibri" w:eastAsia="Calibri" w:hAnsi="Calibri" w:cs="Calibri"/>
          <w:sz w:val="24"/>
          <w:szCs w:val="24"/>
        </w:rPr>
      </w:pPr>
    </w:p>
    <w:p w:rsidR="00C30C8B" w:rsidRDefault="00C30C8B">
      <w:pPr>
        <w:spacing w:line="240" w:lineRule="auto"/>
        <w:rPr>
          <w:rFonts w:ascii="Calibri" w:eastAsia="Calibri" w:hAnsi="Calibri" w:cs="Calibri"/>
          <w:sz w:val="24"/>
          <w:szCs w:val="24"/>
        </w:rPr>
      </w:pPr>
    </w:p>
    <w:p w:rsidR="00C30C8B" w:rsidRDefault="00C30C8B">
      <w:pPr>
        <w:spacing w:line="480" w:lineRule="auto"/>
        <w:rPr>
          <w:rFonts w:ascii="Calibri" w:eastAsia="Calibri" w:hAnsi="Calibri" w:cs="Calibri"/>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1E516C" w:rsidRDefault="001E516C">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1E516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China Has Brought Forth a Xi Dada: How China is Making and Breaking the Personality Cult of Xi Jinping</w:t>
      </w:r>
    </w:p>
    <w:p w:rsidR="00C30C8B" w:rsidRDefault="00C30C8B">
      <w:pPr>
        <w:jc w:val="center"/>
        <w:rPr>
          <w:rFonts w:ascii="Times New Roman" w:eastAsia="Times New Roman" w:hAnsi="Times New Roman" w:cs="Times New Roman"/>
          <w:b/>
          <w:sz w:val="24"/>
          <w:szCs w:val="24"/>
        </w:rPr>
      </w:pPr>
    </w:p>
    <w:p w:rsidR="00C30C8B" w:rsidRDefault="00C30C8B">
      <w:pPr>
        <w:jc w:val="center"/>
        <w:rPr>
          <w:rFonts w:ascii="Times New Roman" w:eastAsia="Times New Roman" w:hAnsi="Times New Roman" w:cs="Times New Roman"/>
          <w:b/>
          <w:sz w:val="24"/>
          <w:szCs w:val="24"/>
        </w:rPr>
      </w:pPr>
    </w:p>
    <w:p w:rsidR="00C30C8B" w:rsidRDefault="00C30C8B">
      <w:pPr>
        <w:jc w:val="center"/>
        <w:rPr>
          <w:rFonts w:ascii="Times New Roman" w:eastAsia="Times New Roman" w:hAnsi="Times New Roman" w:cs="Times New Roman"/>
          <w:b/>
          <w:sz w:val="24"/>
          <w:szCs w:val="24"/>
        </w:rPr>
      </w:pPr>
    </w:p>
    <w:p w:rsidR="00C30C8B" w:rsidRDefault="001E51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Tyler Lynch</w:t>
      </w: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1E51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Chinese President Xi Jinping has centralized political control in China at a level not seen since the death of former Chinese president Mao. Xi Jinping consolidates his power through media and propaganda to construct a cult of personality. In this essay, I analyze the creation and consolidation of Xi’s personality cult through popular songs, propaganda, and classic Maoist motifs. These outlets aim at casting Xi as China’s fearless yet down-to-earth leader. For Xi, technology plays a significant role in promulgating the personality cult, including the use of apps and digital media. </w:t>
      </w:r>
      <w:proofErr w:type="gramStart"/>
      <w:r>
        <w:rPr>
          <w:rFonts w:ascii="Times New Roman" w:eastAsia="Times New Roman" w:hAnsi="Times New Roman" w:cs="Times New Roman"/>
          <w:sz w:val="24"/>
          <w:szCs w:val="24"/>
        </w:rPr>
        <w:t>At the same time, parts of the Chinese Communist Party are uncomfortable with the extreme adulation of Xi’s cult of personality and is working to reign in the cult.</w:t>
      </w:r>
      <w:proofErr w:type="gramEnd"/>
      <w:r>
        <w:rPr>
          <w:rFonts w:ascii="Times New Roman" w:eastAsia="Times New Roman" w:hAnsi="Times New Roman" w:cs="Times New Roman"/>
          <w:sz w:val="24"/>
          <w:szCs w:val="24"/>
        </w:rPr>
        <w:t xml:space="preserve"> I use a Weberian concept of charismatic authority to explain the leadership appeal of Xi and its effects on his cult of personality.</w:t>
      </w: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China, Leadership, Propaganda, Consolidating Power, Charismatic Authority, Technology</w:t>
      </w: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C30C8B" w:rsidRDefault="00C30C8B">
      <w:pPr>
        <w:spacing w:line="480" w:lineRule="auto"/>
        <w:jc w:val="center"/>
        <w:rPr>
          <w:rFonts w:ascii="Times New Roman" w:eastAsia="Times New Roman" w:hAnsi="Times New Roman" w:cs="Times New Roman"/>
          <w:b/>
          <w:sz w:val="24"/>
          <w:szCs w:val="24"/>
        </w:rPr>
      </w:pPr>
    </w:p>
    <w:p w:rsidR="001E516C" w:rsidRDefault="001E516C">
      <w:pPr>
        <w:spacing w:line="480" w:lineRule="auto"/>
        <w:jc w:val="center"/>
        <w:rPr>
          <w:rFonts w:ascii="Times New Roman" w:eastAsia="Times New Roman" w:hAnsi="Times New Roman" w:cs="Times New Roman"/>
          <w:b/>
          <w:sz w:val="24"/>
          <w:szCs w:val="24"/>
        </w:rPr>
      </w:pPr>
    </w:p>
    <w:p w:rsidR="00C30C8B" w:rsidRDefault="001E516C">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I went into the pork bun restaurant for lunch</w:t>
      </w:r>
      <w:r>
        <w:rPr>
          <w:rFonts w:ascii="Times New Roman" w:eastAsia="Times New Roman" w:hAnsi="Times New Roman" w:cs="Times New Roman"/>
          <w:sz w:val="24"/>
          <w:szCs w:val="24"/>
        </w:rPr>
        <w:t>,” begins a Chinese pop song written in 2013. “</w:t>
      </w:r>
      <w:r>
        <w:rPr>
          <w:rFonts w:ascii="Times New Roman" w:eastAsia="Times New Roman" w:hAnsi="Times New Roman" w:cs="Times New Roman"/>
          <w:i/>
          <w:sz w:val="24"/>
          <w:szCs w:val="24"/>
        </w:rPr>
        <w:t>Someone stood behind me in line</w:t>
      </w:r>
      <w:r>
        <w:rPr>
          <w:rFonts w:ascii="Times New Roman" w:eastAsia="Times New Roman" w:hAnsi="Times New Roman" w:cs="Times New Roman"/>
          <w:sz w:val="24"/>
          <w:szCs w:val="24"/>
        </w:rPr>
        <w:t>,” it continues: “</w:t>
      </w:r>
      <w:r>
        <w:rPr>
          <w:rFonts w:ascii="Times New Roman" w:eastAsia="Times New Roman" w:hAnsi="Times New Roman" w:cs="Times New Roman"/>
          <w:i/>
          <w:sz w:val="24"/>
          <w:szCs w:val="24"/>
        </w:rPr>
        <w:t xml:space="preserve">he’s tall, he’s strong, he’s dignified, his face is glowing, / Wait, why </w:t>
      </w:r>
      <w:proofErr w:type="gramStart"/>
      <w:r>
        <w:rPr>
          <w:rFonts w:ascii="Times New Roman" w:eastAsia="Times New Roman" w:hAnsi="Times New Roman" w:cs="Times New Roman"/>
          <w:i/>
          <w:sz w:val="24"/>
          <w:szCs w:val="24"/>
        </w:rPr>
        <w:t>is he</w:t>
      </w:r>
      <w:proofErr w:type="gramEnd"/>
      <w:r>
        <w:rPr>
          <w:rFonts w:ascii="Times New Roman" w:eastAsia="Times New Roman" w:hAnsi="Times New Roman" w:cs="Times New Roman"/>
          <w:i/>
          <w:sz w:val="24"/>
          <w:szCs w:val="24"/>
        </w:rPr>
        <w:t xml:space="preserve"> so familiar</w:t>
      </w:r>
      <w:r>
        <w:rPr>
          <w:rFonts w:ascii="Times New Roman" w:eastAsia="Times New Roman" w:hAnsi="Times New Roman" w:cs="Times New Roman"/>
          <w:sz w:val="24"/>
          <w:szCs w:val="24"/>
        </w:rPr>
        <w:t xml:space="preserve">?” (Landreth et al., 2016). Familiar, yes, because “he” was China’s President Xi </w:t>
      </w:r>
      <w:proofErr w:type="gramStart"/>
      <w:r>
        <w:rPr>
          <w:rFonts w:ascii="Times New Roman" w:eastAsia="Times New Roman" w:hAnsi="Times New Roman" w:cs="Times New Roman"/>
          <w:sz w:val="24"/>
          <w:szCs w:val="24"/>
        </w:rPr>
        <w:t>Jinping,</w:t>
      </w:r>
      <w:proofErr w:type="gramEnd"/>
      <w:r>
        <w:rPr>
          <w:rFonts w:ascii="Times New Roman" w:eastAsia="Times New Roman" w:hAnsi="Times New Roman" w:cs="Times New Roman"/>
          <w:sz w:val="24"/>
          <w:szCs w:val="24"/>
        </w:rPr>
        <w:t xml:space="preserve"> and Xi intended for his breakfast excursion to boost his cult of personality. Previously, China witnessed a decline in the cult of personality following resistance to the autocratic regime of Mao Zedong (Yin &amp; Flew, 2018). However, examples such as the pop song reveal how Xi Jinping has begun to reverse this trend.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essay, I examine Xi Jinping and the Chinese state’s uses of media and propaganda to promote Xi’s status as China’s supreme leader and centralize political control in Xi. First, I examine the term “cult of personality”. Second, I survey the decline of the cult of personality in China since the death of Mao Zedong until its rise under Xi. Third, I examine recent erosions of post-Mao norms of Chinese political leadership. Finally, I analyze the opposition Xi faces in pursuit of his goal as both members of Xi’s government and liberal protestors levy resistance against his centralization of power. Central to my analysis of the cult of Xi is the Weberian concept of charismatic leadership, which is crucial in understanding why Xi’s cult </w:t>
      </w:r>
      <w:proofErr w:type="gramStart"/>
      <w:r>
        <w:rPr>
          <w:rFonts w:ascii="Times New Roman" w:eastAsia="Times New Roman" w:hAnsi="Times New Roman" w:cs="Times New Roman"/>
          <w:sz w:val="24"/>
          <w:szCs w:val="24"/>
        </w:rPr>
        <w:t>is promoted and sustained in a time of widespread uncertainty in China</w:t>
      </w:r>
      <w:proofErr w:type="gramEnd"/>
      <w:r>
        <w:rPr>
          <w:rFonts w:ascii="Times New Roman" w:eastAsia="Times New Roman" w:hAnsi="Times New Roman" w:cs="Times New Roman"/>
          <w:sz w:val="24"/>
          <w:szCs w:val="24"/>
        </w:rPr>
        <w:t xml:space="preserve">.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essay aims to understand how Xi’s erosion of political norms and use of state-controlled media technology creates a cult of personality despite the Chinese population’s previous negative experiences under Mao.  </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Defining the Cult of Personality</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“cult </w:t>
      </w:r>
      <w:proofErr w:type="gramStart"/>
      <w:r>
        <w:rPr>
          <w:rFonts w:ascii="Times New Roman" w:eastAsia="Times New Roman" w:hAnsi="Times New Roman" w:cs="Times New Roman"/>
          <w:sz w:val="24"/>
          <w:szCs w:val="24"/>
        </w:rPr>
        <w:t>of  personality</w:t>
      </w:r>
      <w:proofErr w:type="gramEnd"/>
      <w:r>
        <w:rPr>
          <w:rFonts w:ascii="Times New Roman" w:eastAsia="Times New Roman" w:hAnsi="Times New Roman" w:cs="Times New Roman"/>
          <w:sz w:val="24"/>
          <w:szCs w:val="24"/>
        </w:rPr>
        <w:t xml:space="preserve">” is defined in the </w:t>
      </w:r>
      <w:r>
        <w:rPr>
          <w:rFonts w:ascii="Times New Roman" w:eastAsia="Times New Roman" w:hAnsi="Times New Roman" w:cs="Times New Roman"/>
          <w:i/>
          <w:sz w:val="24"/>
          <w:szCs w:val="24"/>
        </w:rPr>
        <w:t>International Encyclopedia of the Social Sciences</w:t>
      </w:r>
      <w:r>
        <w:rPr>
          <w:rFonts w:ascii="Times New Roman" w:eastAsia="Times New Roman" w:hAnsi="Times New Roman" w:cs="Times New Roman"/>
          <w:sz w:val="24"/>
          <w:szCs w:val="24"/>
        </w:rPr>
        <w:t xml:space="preserve"> as “a pejorative term implying the concentration of all power in a single charismatic leader within a totalitarian state and the near deification of that leader in state propaganda” (Darity, 2008, p. </w:t>
      </w:r>
      <w:r>
        <w:rPr>
          <w:rFonts w:ascii="Times New Roman" w:eastAsia="Times New Roman" w:hAnsi="Times New Roman" w:cs="Times New Roman"/>
          <w:sz w:val="24"/>
          <w:szCs w:val="24"/>
        </w:rPr>
        <w:lastRenderedPageBreak/>
        <w:t xml:space="preserve">221). Cults of personality are not new concepts as monarchs and emperors promoted their cults throughout history. Prime examples of modern leaders who fostered personality cults in support of their regime include Adolf Hitler, Joseph Stalin, Saddam Hussein, Mao Zedong, Idi Amin, and Kim Jong-Il. These leaders </w:t>
      </w:r>
      <w:proofErr w:type="gramStart"/>
      <w:r>
        <w:rPr>
          <w:rFonts w:ascii="Times New Roman" w:eastAsia="Times New Roman" w:hAnsi="Times New Roman" w:cs="Times New Roman"/>
          <w:sz w:val="24"/>
          <w:szCs w:val="24"/>
        </w:rPr>
        <w:t>were lauded</w:t>
      </w:r>
      <w:proofErr w:type="gramEnd"/>
      <w:r>
        <w:rPr>
          <w:rFonts w:ascii="Times New Roman" w:eastAsia="Times New Roman" w:hAnsi="Times New Roman" w:cs="Times New Roman"/>
          <w:sz w:val="24"/>
          <w:szCs w:val="24"/>
        </w:rPr>
        <w:t xml:space="preserve"> by state propaganda as exceptional rulers of near-mythical character, wisdom, and ability. The extent that Stalin, Kim, or Mao’s respective populaces believed the often-ridiculous claims of their governments is questionable, yet the effects of concerted state propaganda in a totalitarian system are significant. The power of technology allows the 21st century totalitarian state more ubiquity and scope than was possible under even the most repressive of earlier regimes. The Chinese state has harnessed technology such as smartphone apps and viral content to project Xi’s power and wisdom to an audience of billions.</w:t>
      </w:r>
    </w:p>
    <w:p w:rsidR="00C30C8B" w:rsidRDefault="001E516C" w:rsidP="007F459E">
      <w:pPr>
        <w:spacing w:line="48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What these tools of mass media and state control seek to engender is the promotion and public perception of the leader’s “charismatic authority,” a theory coined by Max Weber. Leaders possessing charismatic authority enjoy their authority "by virtue of which [they are] set apart from other men and treated as endowed with ...  exceptional powers or qualities” (Weber, 1947, p. 358). Charismatic authority lends itself especially well to authoritarianism since, “in contrast to any kind of bureaucratic organization of offices, the charismatic structure knows nothing of a form or of an ordered procedure of appointment or dismissal” taking on whatever form the leader finds most suitable to maintaining power (Weber et al., 2009, p. 246). Indeed, any leader claiming authority not on tradition or legal-rational legitimacy must, to some extent, construct an apparatus of cult around themselves if they wish to maintain power, since the “charismatic claim breaks down if [their] mission is not recognized” (Weber et al., 2009, 246). A personality cult is a necessary means of projecting strength through the organized and state-sponsored exaltation of a leader. Weber’s theory of charismatic leadership and the conditions that give rise to it will become crucial in understanding why much of China’s population has embraced the personalist regime of Xi Jinping.</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The Rise and </w:t>
      </w:r>
      <w:proofErr w:type="gramStart"/>
      <w:r>
        <w:rPr>
          <w:rFonts w:ascii="Times New Roman" w:eastAsia="Times New Roman" w:hAnsi="Times New Roman" w:cs="Times New Roman"/>
          <w:b/>
          <w:sz w:val="24"/>
          <w:szCs w:val="24"/>
        </w:rPr>
        <w:t>Fall</w:t>
      </w:r>
      <w:proofErr w:type="gramEnd"/>
      <w:r>
        <w:rPr>
          <w:rFonts w:ascii="Times New Roman" w:eastAsia="Times New Roman" w:hAnsi="Times New Roman" w:cs="Times New Roman"/>
          <w:b/>
          <w:sz w:val="24"/>
          <w:szCs w:val="24"/>
        </w:rPr>
        <w:t xml:space="preserve"> of the Cult of Mao</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China is no stranger to personality cults. For much of the 20th Century, it languished under the cult of Mao Zedong. During the Cultural Revolution, “Mao's image and words were a mandatory medium through which people conducted their daily lives” (Schrift, 1998, p. 80). Mao’s image and words were ubiquitous in China, filtering down to the most mundane aspects of life. One Chinese citizen recalls when getting out of bed in the morning “instead of saying, ‘</w:t>
      </w:r>
      <w:proofErr w:type="gramStart"/>
      <w:r>
        <w:rPr>
          <w:rFonts w:ascii="Times New Roman" w:eastAsia="Times New Roman" w:hAnsi="Times New Roman" w:cs="Times New Roman"/>
          <w:sz w:val="24"/>
          <w:szCs w:val="24"/>
        </w:rPr>
        <w:t>Let's</w:t>
      </w:r>
      <w:proofErr w:type="gramEnd"/>
      <w:r>
        <w:rPr>
          <w:rFonts w:ascii="Times New Roman" w:eastAsia="Times New Roman" w:hAnsi="Times New Roman" w:cs="Times New Roman"/>
          <w:sz w:val="24"/>
          <w:szCs w:val="24"/>
        </w:rPr>
        <w:t xml:space="preserve"> get up,’ you said, ‘Carry the revolution through to the end.”’ (Gao, 1987, p. 318-319). Mao’s quasi-divine status allowed him to dominate Chinese political life, structures, and actors. The backlash towards Mao’s supremacy (Yin &amp; Flew, 2018) would fuel the way that the Chinese Communist Party (CCP) would approach and restrain its leaders until the rise of Xi.</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Mao’s death in 1976, the CCP moved away from autocracy and established norms of collective leadership. The wild excesses and political fervour that defined the reign of Mao would now stand as a warning. Upon coming to power in 1978, Mao’s successor, Deng Xiaoping, took major strides “to ensure the rule of law and to set limits to arbitrary bureaucratic rule” (Yin &amp; Flew, 2018, p. 82). Under Deng, the CCP instituted checks-and-balances that, despite </w:t>
      </w:r>
      <w:proofErr w:type="gramStart"/>
      <w:r>
        <w:rPr>
          <w:rFonts w:ascii="Times New Roman" w:eastAsia="Times New Roman" w:hAnsi="Times New Roman" w:cs="Times New Roman"/>
          <w:sz w:val="24"/>
          <w:szCs w:val="24"/>
        </w:rPr>
        <w:t>being embedded</w:t>
      </w:r>
      <w:proofErr w:type="gramEnd"/>
      <w:r>
        <w:rPr>
          <w:rFonts w:ascii="Times New Roman" w:eastAsia="Times New Roman" w:hAnsi="Times New Roman" w:cs="Times New Roman"/>
          <w:sz w:val="24"/>
          <w:szCs w:val="24"/>
        </w:rPr>
        <w:t xml:space="preserve"> in an authoritarian structure, would presumably prevent China’s government from again succumbing to the power of one man. In 1982, the Chinese Constitution outlawed personality cults in the CCP (Luqiu, 2016). Deng himself emphasized the “search for consensus among top leaders” (Minzner, 2015, p. 130). This style would continue as the norm in Chinese politics until Xi Jinping would enter power in 2012. Since his inauguration, Xi’s consolidation of power has tested the tolerance of other major figures in the party, many of whom view his rule as a regression to the despotism of Mao (Wang, 2019).</w:t>
      </w:r>
    </w:p>
    <w:p w:rsidR="007F459E" w:rsidRDefault="007F459E" w:rsidP="001E516C">
      <w:pPr>
        <w:spacing w:line="480" w:lineRule="auto"/>
        <w:jc w:val="both"/>
        <w:rPr>
          <w:rFonts w:ascii="Times New Roman" w:eastAsia="Times New Roman" w:hAnsi="Times New Roman" w:cs="Times New Roman"/>
          <w:b/>
          <w:sz w:val="24"/>
          <w:szCs w:val="24"/>
        </w:rPr>
      </w:pPr>
    </w:p>
    <w:p w:rsidR="007F459E" w:rsidRDefault="007F459E" w:rsidP="001E516C">
      <w:pPr>
        <w:spacing w:line="480" w:lineRule="auto"/>
        <w:jc w:val="both"/>
        <w:rPr>
          <w:rFonts w:ascii="Times New Roman" w:eastAsia="Times New Roman" w:hAnsi="Times New Roman" w:cs="Times New Roman"/>
          <w:b/>
          <w:sz w:val="24"/>
          <w:szCs w:val="24"/>
        </w:rPr>
      </w:pP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Constructing the cult of Xi through technology and media</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potential for a retrenchment of Deng’s checks and balances, the Chinese government is promoting Xi Jinping’s political ideas by positively portraying the president through media and propaganda. One of the central pillars in the cult of Xi is a government-released app, officially titled “Xuexi Qiangguo,” which translates to “Study powerful country.” Already monikered the </w:t>
      </w:r>
      <w:r>
        <w:rPr>
          <w:rFonts w:ascii="Times New Roman" w:eastAsia="Times New Roman" w:hAnsi="Times New Roman" w:cs="Times New Roman"/>
          <w:i/>
          <w:sz w:val="24"/>
          <w:szCs w:val="24"/>
        </w:rPr>
        <w:t>Little Red App</w:t>
      </w:r>
      <w:r>
        <w:rPr>
          <w:rFonts w:ascii="Times New Roman" w:eastAsia="Times New Roman" w:hAnsi="Times New Roman" w:cs="Times New Roman"/>
          <w:sz w:val="24"/>
          <w:szCs w:val="24"/>
        </w:rPr>
        <w:t xml:space="preserve">, Xuexi Qiangguo is a media platform designed to immerse Chinese citizens in highly filtered Xi-centric news and propaganda through quizzes, articles, and videos (Keane &amp; Su, 2019). Upon installation, Xuexi demands access to one’s contacts, photos, phone number, Wi-Fi, location, and can trawl for data from 960 other phone applications such as Google Chat, Alipay, and Trip Advisor (Heiderich, 2019). The app also features call and chatting functions, constituting an all-inclusive digital ecosystem. The app rewards users with “positive energy” based on the accuracy of their knowledge of and the time they spend consuming “Xi thought”, a term describing Xi’s political and economic ideas. These ideas are “now enshrined on the same level as the ‘thought’ of previous great leaders Mao Zedong and Deng Xiaoping” (Keane &amp; Su, 2019, p. 12). While exact user data is unavailable, reports agree that Xuexi became the most downloaded app in China, with over 100 million downloads in the four months following the app’s release in January 2019 (Fifield, 2019). While installation is not mandatory, the social and political pressure to maintain high scores on Xuexi Qiangguo is strong among party officials and bureaucrats. The punishment for insufficient usage of the Little Red App is public shaming while slacking CCP members can expect to </w:t>
      </w:r>
      <w:proofErr w:type="gramStart"/>
      <w:r>
        <w:rPr>
          <w:rFonts w:ascii="Times New Roman" w:eastAsia="Times New Roman" w:hAnsi="Times New Roman" w:cs="Times New Roman"/>
          <w:sz w:val="24"/>
          <w:szCs w:val="24"/>
        </w:rPr>
        <w:t>be written</w:t>
      </w:r>
      <w:proofErr w:type="gramEnd"/>
      <w:r>
        <w:rPr>
          <w:rFonts w:ascii="Times New Roman" w:eastAsia="Times New Roman" w:hAnsi="Times New Roman" w:cs="Times New Roman"/>
          <w:sz w:val="24"/>
          <w:szCs w:val="24"/>
        </w:rPr>
        <w:t xml:space="preserve"> up (Keane &amp; Su, 2019).</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Consistent with his one-man consolidation of power, Xi has become the face of the Chinese government. Dismissing the post-Mao norm of collective governance, China’s premier Li Keqiang instructed CCP members to support the supremacy of Xi Jinping (Phillips, 2018). China’s annual government meetings have regressed into a flurry of flatteries, similar to the days of the Mao </w:t>
      </w:r>
      <w:r>
        <w:rPr>
          <w:rFonts w:ascii="Times New Roman" w:eastAsia="Times New Roman" w:hAnsi="Times New Roman" w:cs="Times New Roman"/>
          <w:sz w:val="24"/>
          <w:szCs w:val="24"/>
        </w:rPr>
        <w:lastRenderedPageBreak/>
        <w:t xml:space="preserve">regime (Wang, 2019). In 2015, Xi was the only Chinese ruler displayed in the </w:t>
      </w:r>
      <w:proofErr w:type="gramStart"/>
      <w:r>
        <w:rPr>
          <w:rFonts w:ascii="Times New Roman" w:eastAsia="Times New Roman" w:hAnsi="Times New Roman" w:cs="Times New Roman"/>
          <w:sz w:val="24"/>
          <w:szCs w:val="24"/>
        </w:rPr>
        <w:t>widely-broadcasted</w:t>
      </w:r>
      <w:proofErr w:type="gramEnd"/>
      <w:r>
        <w:rPr>
          <w:rFonts w:ascii="Times New Roman" w:eastAsia="Times New Roman" w:hAnsi="Times New Roman" w:cs="Times New Roman"/>
          <w:sz w:val="24"/>
          <w:szCs w:val="24"/>
        </w:rPr>
        <w:t xml:space="preserve"> New Year’s Gala, a first in the history of the event. In sidelining China’s past leaders, Xi secures power in himself and legitimizes his charismatic authority. Perhaps most ominously, Xi abolished term limits for China’s presidency, allowing him to rule indefinitely (Phillips, 2018).</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Popular expressions of adulation, a bottom-up contribution to a personality cult, are equally noteworthy and influential in propagating the cult of Xi. Propaganda songs, one of the key aspects to Xi’s personality cult, are experiencing a resurgence in China (Landreth et al., 2016). One of the most popular songs, entitled </w:t>
      </w:r>
      <w:r>
        <w:rPr>
          <w:rFonts w:ascii="Times New Roman" w:eastAsia="Times New Roman" w:hAnsi="Times New Roman" w:cs="Times New Roman"/>
          <w:i/>
          <w:sz w:val="24"/>
          <w:szCs w:val="24"/>
        </w:rPr>
        <w:t>Xi Dada Loves Peng Mama,</w:t>
      </w:r>
      <w:r>
        <w:rPr>
          <w:rFonts w:ascii="Times New Roman" w:eastAsia="Times New Roman" w:hAnsi="Times New Roman" w:cs="Times New Roman"/>
          <w:sz w:val="24"/>
          <w:szCs w:val="24"/>
        </w:rPr>
        <w:t xml:space="preserve"> poses Xi and his wife, folk singer Peng Liyuan, as a model Chinese couple. Other viral hits have followed in the same vein, lauding Xi’s courage, charisma, vision, and humility (Yin &amp; Flew, 2018). Flattering poetry has also flourished</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although, many of the more fervid efforts have been met with scorn (Bandruski, 2016). The restaurant where Xi stopped for </w:t>
      </w:r>
      <w:r>
        <w:rPr>
          <w:rFonts w:ascii="Times New Roman" w:eastAsia="Times New Roman" w:hAnsi="Times New Roman" w:cs="Times New Roman"/>
          <w:i/>
          <w:sz w:val="24"/>
          <w:szCs w:val="24"/>
        </w:rPr>
        <w:t>baozis</w:t>
      </w:r>
      <w:r>
        <w:rPr>
          <w:rFonts w:ascii="Times New Roman" w:eastAsia="Times New Roman" w:hAnsi="Times New Roman" w:cs="Times New Roman"/>
          <w:sz w:val="24"/>
          <w:szCs w:val="24"/>
        </w:rPr>
        <w:t xml:space="preserve"> now has a “Xi set lunch” and a travel agency dedicated to bringing in tourists (Luqiu, 2016). The “Long live" chant, an institution from the Mao days, with which “[no] other leaders afterwards had ever been referred to,” has begun to be used for Xi (Yin &amp; Flew, 2018, p. 88). While there are many who “use this burgeoning cult of personality for their own goals — whether to make a quick buck, ingratiate themselves with their superiors, or call disfavor on their rivals,” it is difficult to ignore genuine popular support for Xi Jinping (Landreth, et al., 2016).</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Between the innumerable channels, apps, viral songs, staged photos, and state-controlled TV, radio, and internet outlets, digital technology forms the linchpin of the Chinese Communist Party’s apparatus of state control. Under Xi Jinping, digital technology has become the primary vehicle for state promotion of Xi’s status as China’s supreme leader, teacher, general, and mentor.</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CCP and popular backlash to Xi’s consolidation of power</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In many cases, the CCP itself has become uncomfortable with the extent of the public and bureaucracy’s flattery of Xi. The party condemns and censors low-level, naive, ridiculous, and sophisticated flattery with sarcastic undertones (Wang, 2019). Absurd or ostentatious efforts to demonstrate party or Xi-loyalty, such as one couple’s decision to write out the entire Chinese constitution by hand on their wedding night, have been reprimanded (Wang, 2019). Propaganda departments have censored party newspapers when their coverage of the president evokes sentiments of the Mao-era (Blatt, 2018). For example, the use of the term “great leader” in reference to Xi was enough for government officials to order one newspaper to stop (Blatt, 2018). News agencies in Hong Kong and Taiwan report the CCP has banned hanging portraits of XI Jinping without authorization from the Chinese government (Blatt, 2018). However arbitrary their restraint is, the CCP fears to evoke sentiments of the Cultural Revolution as its wounds are still fresh in the minds of millions (Blatt, 2018). Since 2018, the CCP has slowed the cult-machine around Xi and even sought scapegoats in its attempt to distance itself from </w:t>
      </w:r>
      <w:proofErr w:type="gramStart"/>
      <w:r>
        <w:rPr>
          <w:rFonts w:ascii="Times New Roman" w:eastAsia="Times New Roman" w:hAnsi="Times New Roman" w:cs="Times New Roman"/>
          <w:sz w:val="24"/>
          <w:szCs w:val="24"/>
        </w:rPr>
        <w:t>it .</w:t>
      </w:r>
      <w:proofErr w:type="gramEnd"/>
      <w:r>
        <w:rPr>
          <w:rFonts w:ascii="Times New Roman" w:eastAsia="Times New Roman" w:hAnsi="Times New Roman" w:cs="Times New Roman"/>
          <w:sz w:val="24"/>
          <w:szCs w:val="24"/>
        </w:rPr>
        <w:t xml:space="preserve"> Reports say that one of the president's closest advisors, Wang Huning, </w:t>
      </w:r>
      <w:proofErr w:type="gramStart"/>
      <w:r>
        <w:rPr>
          <w:rFonts w:ascii="Times New Roman" w:eastAsia="Times New Roman" w:hAnsi="Times New Roman" w:cs="Times New Roman"/>
          <w:sz w:val="24"/>
          <w:szCs w:val="24"/>
        </w:rPr>
        <w:t>has been sidelined</w:t>
      </w:r>
      <w:proofErr w:type="gramEnd"/>
      <w:r>
        <w:rPr>
          <w:rFonts w:ascii="Times New Roman" w:eastAsia="Times New Roman" w:hAnsi="Times New Roman" w:cs="Times New Roman"/>
          <w:sz w:val="24"/>
          <w:szCs w:val="24"/>
        </w:rPr>
        <w:t xml:space="preserve"> to manage backlash from critics regarding Xi’s personality cult (Lam, 2018).</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Indeed, Xi faces constraints in entrenching his personality cult including from senior Communist officials themselves. With Xi centralizing power at the expense of others, former CCP leaders Jiang Zemin and Hu Jintao disapprove of Xi distancing China from the collective leadership principles of the Deng-era (Cohen, 2018). Through abolishing term limits, sidelining China’s past leaders, and propagandizing Xi Thought, Xi Jinping’s presidency is reminiscent of Mao Zedong. Unease with the direction of Xi’s leadership in the CCP is widespread, prompting new emphasis on strict party-loyalty in response. However, resentment continues to </w:t>
      </w:r>
      <w:proofErr w:type="gramStart"/>
      <w:r>
        <w:rPr>
          <w:rFonts w:ascii="Times New Roman" w:eastAsia="Times New Roman" w:hAnsi="Times New Roman" w:cs="Times New Roman"/>
          <w:sz w:val="24"/>
          <w:szCs w:val="24"/>
        </w:rPr>
        <w:t>be confined</w:t>
      </w:r>
      <w:proofErr w:type="gramEnd"/>
      <w:r>
        <w:rPr>
          <w:rFonts w:ascii="Times New Roman" w:eastAsia="Times New Roman" w:hAnsi="Times New Roman" w:cs="Times New Roman"/>
          <w:sz w:val="24"/>
          <w:szCs w:val="24"/>
        </w:rPr>
        <w:t xml:space="preserve"> mainly to the shadowy upper-echelons of the CCP and does not jeopardize Xi’s power (Cohen, 2018). Xi’s most vocal critics come from Chinese citizens themselves.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people of China are no longer as tractable as they were in the days of the Cultural Revolution. Mao was able to deify himself without much popular resistance since the CCP controlled the majority of cultural expression in China (</w:t>
      </w:r>
      <w:proofErr w:type="gramStart"/>
      <w:r>
        <w:rPr>
          <w:rFonts w:ascii="Times New Roman" w:eastAsia="Times New Roman" w:hAnsi="Times New Roman" w:cs="Times New Roman"/>
          <w:sz w:val="24"/>
          <w:szCs w:val="24"/>
        </w:rPr>
        <w:t>Gao</w:t>
      </w:r>
      <w:proofErr w:type="gramEnd"/>
      <w:r>
        <w:rPr>
          <w:rFonts w:ascii="Times New Roman" w:eastAsia="Times New Roman" w:hAnsi="Times New Roman" w:cs="Times New Roman"/>
          <w:sz w:val="24"/>
          <w:szCs w:val="24"/>
        </w:rPr>
        <w:t xml:space="preserve">, 1987). Two things have changed since the Mao-era. First, the reign of Deng Xiaoping conditioned Chinese to expect that their leaders would emulate his moderation and adhere to the new model of collective governance. Second, the proliferation of the Internet in China, especially through social media platforms, has, despite government censorship, made Chinese more aware of their context in the world and increased their access to information. Both these factors have contributed to a growing pushback towards the authoritarian, personalist regime of Xi Jinping. Another mode of resistance is simple consumerism, which counters the historic communist ideology of the CCP through the Chinese consumption of Western commodities. As Time Magazine asked, “how can a Beijing kid, raised on Starbucks and The Big Bang Theory, understand calls to reject the West and embrace socialist heroes?” (Beech, 2016, par. 15).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media is also a tool in the hand of Xi’s enemies. Political activists use the tool to counter government propaganda and promote dissenting symbols. Subversive symbols like “steamed buns,” a reference to Xi’s breakfast excursion, have been widely used online to mock the president; the Hitler-esque nickname “Xitele” has also circulated (Luqiu, 2016). This opposition is notable, but as within the party itself, resistance is not the dominant strain of thought (Cohen, 2018).</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sustainment of the cult of Xi through charismatic legitimacy</w:t>
      </w:r>
    </w:p>
    <w:p w:rsidR="00C30C8B" w:rsidRDefault="001E516C" w:rsidP="007F459E">
      <w:pPr>
        <w:spacing w:line="48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Why has China tolerated an increasingly authoritarian leader and his attack on legal-rational legitimacy? Why has the CPC given Xi Jinping the space to tread on political convention and personalize the government? A reasonable and productive answer comes from the work of Max Weber on anxiety and the rise of charismatic authority. Weber argued that charismatic figures </w:t>
      </w:r>
      <w:r>
        <w:rPr>
          <w:rFonts w:ascii="Times New Roman" w:eastAsia="Times New Roman" w:hAnsi="Times New Roman" w:cs="Times New Roman"/>
          <w:sz w:val="24"/>
          <w:szCs w:val="24"/>
        </w:rPr>
        <w:lastRenderedPageBreak/>
        <w:t xml:space="preserve">were “natural leaders in times of psychic, physical, economic, ethical, religious, political distress” (Weber, 2009, p. 245). The charismatic leader is one “who convincingly offers himself to a group of people in distress as one peculiarly qualified to lead them out of their predicament. He is, in essence, a savior” (Tucker, 1968, p. 743).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China is indeed a country lacking strong political, economic, or spiritual security (Minzner, 2015, p. 129). Many Chinese perceive that their “heady accomplishments have been grounded in a set of norms and policies... [</w:t>
      </w:r>
      <w:proofErr w:type="gramStart"/>
      <w:r>
        <w:rPr>
          <w:rFonts w:ascii="Times New Roman" w:eastAsia="Times New Roman" w:hAnsi="Times New Roman" w:cs="Times New Roman"/>
          <w:sz w:val="24"/>
          <w:szCs w:val="24"/>
        </w:rPr>
        <w:t>that</w:t>
      </w:r>
      <w:proofErr w:type="gramEnd"/>
      <w:r>
        <w:rPr>
          <w:rFonts w:ascii="Times New Roman" w:eastAsia="Times New Roman" w:hAnsi="Times New Roman" w:cs="Times New Roman"/>
          <w:sz w:val="24"/>
          <w:szCs w:val="24"/>
        </w:rPr>
        <w:t xml:space="preserve">] are now unraveling” (Minzner, 2015, p. 129). According to Yunxi, “Contemporary China’s biggest feature is that it is entering a period of comprehensive anxieties,” centred on politics, the economy, belief, and even survival (as cited in Yin &amp; Flew, 2018). In light of the Chinese population’s anxieties, Xi Jinping has cast himself as China’s saviour. The CCP is eager to demonstrate that Xi has the wherewithal that will steer China through the murky waters of the coming century (Chen, 2016). Whether through a sense of the inevitability of Xi’s triumph, which necessitates the show of allegiance, or a genuine belief in the direction he is taking China, Chinese citizens and politicians alike have committed themselves fully to the cult of Xi as a survival strategy (Yin &amp; Flew, 2018). The cult of personality, however, </w:t>
      </w:r>
      <w:proofErr w:type="gramStart"/>
      <w:r>
        <w:rPr>
          <w:rFonts w:ascii="Times New Roman" w:eastAsia="Times New Roman" w:hAnsi="Times New Roman" w:cs="Times New Roman"/>
          <w:sz w:val="24"/>
          <w:szCs w:val="24"/>
        </w:rPr>
        <w:t>may also be seen</w:t>
      </w:r>
      <w:proofErr w:type="gramEnd"/>
      <w:r>
        <w:rPr>
          <w:rFonts w:ascii="Times New Roman" w:eastAsia="Times New Roman" w:hAnsi="Times New Roman" w:cs="Times New Roman"/>
          <w:sz w:val="24"/>
          <w:szCs w:val="24"/>
        </w:rPr>
        <w:t xml:space="preserve"> as a survival strategy for Xi himself. For a leader who has rejected norms of leadership and traditional legitimacy, the </w:t>
      </w:r>
      <w:proofErr w:type="gramStart"/>
      <w:r>
        <w:rPr>
          <w:rFonts w:ascii="Times New Roman" w:eastAsia="Times New Roman" w:hAnsi="Times New Roman" w:cs="Times New Roman"/>
          <w:sz w:val="24"/>
          <w:szCs w:val="24"/>
        </w:rPr>
        <w:t>public’s</w:t>
      </w:r>
      <w:proofErr w:type="gramEnd"/>
      <w:r>
        <w:rPr>
          <w:rFonts w:ascii="Times New Roman" w:eastAsia="Times New Roman" w:hAnsi="Times New Roman" w:cs="Times New Roman"/>
          <w:sz w:val="24"/>
          <w:szCs w:val="24"/>
        </w:rPr>
        <w:t xml:space="preserve"> maintained perception of Xi’s power is crucial. Xi’s maintenance of charismatic legitimacy </w:t>
      </w:r>
      <w:proofErr w:type="gramStart"/>
      <w:r>
        <w:rPr>
          <w:rFonts w:ascii="Times New Roman" w:eastAsia="Times New Roman" w:hAnsi="Times New Roman" w:cs="Times New Roman"/>
          <w:sz w:val="24"/>
          <w:szCs w:val="24"/>
        </w:rPr>
        <w:t>is shown</w:t>
      </w:r>
      <w:proofErr w:type="gramEnd"/>
      <w:r>
        <w:rPr>
          <w:rFonts w:ascii="Times New Roman" w:eastAsia="Times New Roman" w:hAnsi="Times New Roman" w:cs="Times New Roman"/>
          <w:sz w:val="24"/>
          <w:szCs w:val="24"/>
        </w:rPr>
        <w:t xml:space="preserve"> in that “He is their master… so long as he knows how to maintain recognition through ‘proving’ himself” (Weber et al., 2009, p. 249). </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Xi’s use of technology has allowed him to overcome negative sentiments from the Mao era to create a cult of personality and consolidate his charismatic authority. Xi’s use of mass media, government propaganda, and party platforms to inculcate his political thought is central to maintaining a personality cult and, consequently, his power. Of course, it is eminently possible </w:t>
      </w:r>
      <w:r>
        <w:rPr>
          <w:rFonts w:ascii="Times New Roman" w:eastAsia="Times New Roman" w:hAnsi="Times New Roman" w:cs="Times New Roman"/>
          <w:sz w:val="24"/>
          <w:szCs w:val="24"/>
        </w:rPr>
        <w:lastRenderedPageBreak/>
        <w:t xml:space="preserve">that Xi will succumb either to the inner-party resentment or grassroots resistance that challenges him. However, to date, Xi has maintained his charismatic legitimacy despite opposition and negative sentiments from Mao’s regime.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Beijing’s management of the recent intractable Hong Kong protests and the Chinese construction of a hyper-surveillance state and internment system in Xinjiang suggest a government increasingly insecure about dissension within its ranks. Yet, as the tanks on Tiananmen remind us, achieving political change on a grand scale is difficult in China. With no term limits on Xi’s presidency, the east may indeed be red again.</w:t>
      </w:r>
    </w:p>
    <w:p w:rsidR="00C30C8B" w:rsidRDefault="00C30C8B" w:rsidP="001E516C">
      <w:pPr>
        <w:spacing w:line="480" w:lineRule="auto"/>
        <w:jc w:val="both"/>
        <w:rPr>
          <w:rFonts w:ascii="Times New Roman" w:eastAsia="Times New Roman" w:hAnsi="Times New Roman" w:cs="Times New Roman"/>
          <w:b/>
          <w:sz w:val="24"/>
          <w:szCs w:val="24"/>
        </w:rPr>
      </w:pPr>
    </w:p>
    <w:p w:rsidR="00C30C8B" w:rsidRDefault="00C30C8B" w:rsidP="001E516C">
      <w:pPr>
        <w:spacing w:line="480" w:lineRule="auto"/>
        <w:jc w:val="both"/>
        <w:rPr>
          <w:rFonts w:ascii="Times New Roman" w:eastAsia="Times New Roman" w:hAnsi="Times New Roman" w:cs="Times New Roman"/>
          <w:b/>
          <w:sz w:val="24"/>
          <w:szCs w:val="24"/>
        </w:rPr>
      </w:pPr>
    </w:p>
    <w:p w:rsidR="00C30C8B" w:rsidRDefault="00C30C8B" w:rsidP="001E516C">
      <w:pPr>
        <w:spacing w:line="480" w:lineRule="auto"/>
        <w:jc w:val="both"/>
        <w:rPr>
          <w:rFonts w:ascii="Times New Roman" w:eastAsia="Times New Roman" w:hAnsi="Times New Roman" w:cs="Times New Roman"/>
          <w:b/>
          <w:sz w:val="24"/>
          <w:szCs w:val="24"/>
        </w:rPr>
      </w:pPr>
    </w:p>
    <w:p w:rsidR="00C30C8B" w:rsidRDefault="00C30C8B" w:rsidP="001E516C">
      <w:pPr>
        <w:spacing w:line="480" w:lineRule="auto"/>
        <w:jc w:val="both"/>
        <w:rPr>
          <w:rFonts w:ascii="Times New Roman" w:eastAsia="Times New Roman" w:hAnsi="Times New Roman" w:cs="Times New Roman"/>
          <w:b/>
          <w:sz w:val="24"/>
          <w:szCs w:val="24"/>
        </w:rPr>
      </w:pPr>
    </w:p>
    <w:p w:rsidR="00C30C8B" w:rsidRDefault="00C30C8B" w:rsidP="001E516C">
      <w:pPr>
        <w:spacing w:line="480" w:lineRule="auto"/>
        <w:jc w:val="both"/>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0E531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Bibliography</w:t>
      </w:r>
    </w:p>
    <w:p w:rsidR="001E516C" w:rsidRDefault="001E516C">
      <w:pPr>
        <w:jc w:val="center"/>
        <w:rPr>
          <w:rFonts w:ascii="Times New Roman" w:eastAsia="Times New Roman" w:hAnsi="Times New Roman" w:cs="Times New Roman"/>
          <w:b/>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Bandurski, D. (2016, February 19). An Ode to Big Brother. Retrieved from https://medium.com/china-media-project/an-ode-to-big-brother-3ef46037e52d.</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Beech, H. (2016, March 31). </w:t>
      </w:r>
      <w:r>
        <w:rPr>
          <w:rFonts w:ascii="Times New Roman" w:eastAsia="Times New Roman" w:hAnsi="Times New Roman" w:cs="Times New Roman"/>
          <w:i/>
          <w:sz w:val="24"/>
          <w:szCs w:val="24"/>
        </w:rPr>
        <w:t>China’s Chairman Builds a Cult of Personality</w:t>
      </w:r>
      <w:r>
        <w:rPr>
          <w:rFonts w:ascii="Times New Roman" w:eastAsia="Times New Roman" w:hAnsi="Times New Roman" w:cs="Times New Roman"/>
          <w:sz w:val="24"/>
          <w:szCs w:val="24"/>
        </w:rPr>
        <w:t xml:space="preserve">. Retrieved from </w:t>
      </w:r>
      <w:hyperlink r:id="rId67">
        <w:r>
          <w:rPr>
            <w:rFonts w:ascii="Times New Roman" w:eastAsia="Times New Roman" w:hAnsi="Times New Roman" w:cs="Times New Roman"/>
            <w:sz w:val="24"/>
            <w:szCs w:val="24"/>
            <w:u w:val="single"/>
          </w:rPr>
          <w:t>http://time.com/magazine/south-pacific/4278204/april-11th-2016-vol-187-no-13-asia-europe-middle-east-and-africa-south-pacific/</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Blatt, M. (2018, July 12). </w:t>
      </w:r>
      <w:r>
        <w:rPr>
          <w:rFonts w:ascii="Times New Roman" w:eastAsia="Times New Roman" w:hAnsi="Times New Roman" w:cs="Times New Roman"/>
          <w:i/>
          <w:sz w:val="24"/>
          <w:szCs w:val="24"/>
        </w:rPr>
        <w:t>China and the Cult of Xi</w:t>
      </w:r>
      <w:r>
        <w:rPr>
          <w:rFonts w:ascii="Times New Roman" w:eastAsia="Times New Roman" w:hAnsi="Times New Roman" w:cs="Times New Roman"/>
          <w:sz w:val="24"/>
          <w:szCs w:val="24"/>
        </w:rPr>
        <w:t xml:space="preserve">. Retrieved from </w:t>
      </w:r>
      <w:hyperlink r:id="rId68">
        <w:r>
          <w:rPr>
            <w:rFonts w:ascii="Times New Roman" w:eastAsia="Times New Roman" w:hAnsi="Times New Roman" w:cs="Times New Roman"/>
            <w:sz w:val="24"/>
            <w:szCs w:val="24"/>
            <w:u w:val="single"/>
          </w:rPr>
          <w:t>https://nationalinterest.org/blog/buzz/china-and-cult-xi-25581</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Cohen, J. (2018, August 2). </w:t>
      </w:r>
      <w:r>
        <w:rPr>
          <w:rFonts w:ascii="Times New Roman" w:eastAsia="Times New Roman" w:hAnsi="Times New Roman" w:cs="Times New Roman"/>
          <w:i/>
          <w:sz w:val="24"/>
          <w:szCs w:val="24"/>
        </w:rPr>
        <w:t>Xi Jinping sees some pushback against his iron-fisted rule</w:t>
      </w:r>
      <w:r>
        <w:rPr>
          <w:rFonts w:ascii="Times New Roman" w:eastAsia="Times New Roman" w:hAnsi="Times New Roman" w:cs="Times New Roman"/>
          <w:sz w:val="24"/>
          <w:szCs w:val="24"/>
        </w:rPr>
        <w:t xml:space="preserve">. Retrieved from </w:t>
      </w:r>
      <w:hyperlink r:id="rId69">
        <w:r>
          <w:rPr>
            <w:rFonts w:ascii="Times New Roman" w:eastAsia="Times New Roman" w:hAnsi="Times New Roman" w:cs="Times New Roman"/>
            <w:sz w:val="24"/>
            <w:szCs w:val="24"/>
            <w:u w:val="single"/>
          </w:rPr>
          <w:t>https://www.washingtonpost.com/news/global-opinions/wp/2018/08/02/xi-jinping-sees-some-pushback-against-his-iron-fisted-rule/?noredirect=on</w:t>
        </w:r>
      </w:hyperlink>
      <w:r>
        <w:rPr>
          <w:rFonts w:ascii="Times New Roman" w:eastAsia="Times New Roman" w:hAnsi="Times New Roman" w:cs="Times New Roman"/>
          <w:sz w:val="24"/>
          <w:szCs w:val="24"/>
        </w:rPr>
        <w:t xml:space="preserve"> </w:t>
      </w:r>
    </w:p>
    <w:p w:rsidR="00C30C8B" w:rsidRDefault="00C30C8B">
      <w:pPr>
        <w:rPr>
          <w:rFonts w:ascii="Times New Roman" w:eastAsia="Times New Roman" w:hAnsi="Times New Roman" w:cs="Times New Roman"/>
          <w:sz w:val="24"/>
          <w:szCs w:val="24"/>
          <w:highlight w:val="white"/>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Darity, W. A. (2008). </w:t>
      </w:r>
      <w:r>
        <w:rPr>
          <w:rFonts w:ascii="Times New Roman" w:eastAsia="Times New Roman" w:hAnsi="Times New Roman" w:cs="Times New Roman"/>
          <w:i/>
          <w:sz w:val="24"/>
          <w:szCs w:val="24"/>
        </w:rPr>
        <w:t>International encyclopedia of the social sciences</w:t>
      </w:r>
      <w:r>
        <w:rPr>
          <w:rFonts w:ascii="Times New Roman" w:eastAsia="Times New Roman" w:hAnsi="Times New Roman" w:cs="Times New Roman"/>
          <w:sz w:val="24"/>
          <w:szCs w:val="24"/>
          <w:highlight w:val="white"/>
        </w:rPr>
        <w:t>. Detroit, Mich: Macmillan Reference USA.</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Fifield, A. “Chinese app on Xi’s ideology allows data access to users’ phones, report says.” Retrieved from </w:t>
      </w:r>
      <w:hyperlink r:id="rId70">
        <w:r>
          <w:rPr>
            <w:rFonts w:ascii="Times New Roman" w:eastAsia="Times New Roman" w:hAnsi="Times New Roman" w:cs="Times New Roman"/>
            <w:sz w:val="24"/>
            <w:szCs w:val="24"/>
            <w:u w:val="single"/>
          </w:rPr>
          <w:t>https://www.washingtonpost.com/world/asia_pacific/chinese-app-on-xis-ideology-allows-data-access-to-100-million-users-phones-report-says/2019/10/11/2d53bbae-eb4d-11e9-bafb-da248f8d5734_story.html</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Gao</w:t>
      </w:r>
      <w:proofErr w:type="gramEnd"/>
      <w:r>
        <w:rPr>
          <w:rFonts w:ascii="Times New Roman" w:eastAsia="Times New Roman" w:hAnsi="Times New Roman" w:cs="Times New Roman"/>
          <w:sz w:val="24"/>
          <w:szCs w:val="24"/>
        </w:rPr>
        <w:t xml:space="preserve">, Y. (1987). </w:t>
      </w:r>
      <w:r>
        <w:rPr>
          <w:rFonts w:ascii="Times New Roman" w:eastAsia="Times New Roman" w:hAnsi="Times New Roman" w:cs="Times New Roman"/>
          <w:i/>
          <w:sz w:val="24"/>
          <w:szCs w:val="24"/>
        </w:rPr>
        <w:t xml:space="preserve">Born Red: A chronicle of the </w:t>
      </w:r>
      <w:proofErr w:type="gramStart"/>
      <w:r>
        <w:rPr>
          <w:rFonts w:ascii="Times New Roman" w:eastAsia="Times New Roman" w:hAnsi="Times New Roman" w:cs="Times New Roman"/>
          <w:i/>
          <w:sz w:val="24"/>
          <w:szCs w:val="24"/>
        </w:rPr>
        <w:t>cultural revolution</w:t>
      </w:r>
      <w:proofErr w:type="gramEnd"/>
      <w:r>
        <w:rPr>
          <w:rFonts w:ascii="Times New Roman" w:eastAsia="Times New Roman" w:hAnsi="Times New Roman" w:cs="Times New Roman"/>
          <w:sz w:val="24"/>
          <w:szCs w:val="24"/>
        </w:rPr>
        <w:t>. Stanford, Calif: Stanford University Press.</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Heiderich, M. “Analysis Report “Study the Great Nation” 08.-09.2019.” Cure53. Retrieved from </w:t>
      </w:r>
      <w:hyperlink r:id="rId71">
        <w:r>
          <w:rPr>
            <w:rFonts w:ascii="Times New Roman" w:eastAsia="Times New Roman" w:hAnsi="Times New Roman" w:cs="Times New Roman"/>
            <w:sz w:val="24"/>
            <w:szCs w:val="24"/>
            <w:u w:val="single"/>
          </w:rPr>
          <w:t>https://cure53.de/analysis_report_sgn.pdf</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Heying, C. (2016, October 28). </w:t>
      </w:r>
      <w:r>
        <w:rPr>
          <w:rFonts w:ascii="Times New Roman" w:eastAsia="Times New Roman" w:hAnsi="Times New Roman" w:cs="Times New Roman"/>
          <w:i/>
          <w:sz w:val="24"/>
          <w:szCs w:val="24"/>
        </w:rPr>
        <w:t>China needs central leadership: poll</w:t>
      </w:r>
      <w:r>
        <w:rPr>
          <w:rFonts w:ascii="Times New Roman" w:eastAsia="Times New Roman" w:hAnsi="Times New Roman" w:cs="Times New Roman"/>
          <w:sz w:val="24"/>
          <w:szCs w:val="24"/>
        </w:rPr>
        <w:t xml:space="preserve">. Retrieved from </w:t>
      </w:r>
      <w:hyperlink r:id="rId72">
        <w:r>
          <w:rPr>
            <w:rFonts w:ascii="Times New Roman" w:eastAsia="Times New Roman" w:hAnsi="Times New Roman" w:cs="Times New Roman"/>
            <w:sz w:val="24"/>
            <w:szCs w:val="24"/>
            <w:u w:val="single"/>
          </w:rPr>
          <w:t>http://www.globaltimes.cn/content/1013745.shtml</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Keane, M., &amp; Su, G. (2019). When push comes to </w:t>
      </w:r>
      <w:proofErr w:type="gramStart"/>
      <w:r>
        <w:rPr>
          <w:rFonts w:ascii="Times New Roman" w:eastAsia="Times New Roman" w:hAnsi="Times New Roman" w:cs="Times New Roman"/>
          <w:sz w:val="24"/>
          <w:szCs w:val="24"/>
        </w:rPr>
        <w:t>nudge:</w:t>
      </w:r>
      <w:proofErr w:type="gramEnd"/>
      <w:r>
        <w:rPr>
          <w:rFonts w:ascii="Times New Roman" w:eastAsia="Times New Roman" w:hAnsi="Times New Roman" w:cs="Times New Roman"/>
          <w:sz w:val="24"/>
          <w:szCs w:val="24"/>
        </w:rPr>
        <w:t xml:space="preserve"> a Chinese digital civilisation in-the-making. </w:t>
      </w:r>
      <w:r>
        <w:rPr>
          <w:rFonts w:ascii="Times New Roman" w:eastAsia="Times New Roman" w:hAnsi="Times New Roman" w:cs="Times New Roman"/>
          <w:i/>
          <w:sz w:val="24"/>
          <w:szCs w:val="24"/>
        </w:rPr>
        <w:t>Media International Australia,</w:t>
      </w:r>
      <w:r>
        <w:rPr>
          <w:rFonts w:ascii="Times New Roman" w:eastAsia="Times New Roman" w:hAnsi="Times New Roman" w:cs="Times New Roman"/>
          <w:sz w:val="24"/>
          <w:szCs w:val="24"/>
        </w:rPr>
        <w:t xml:space="preserve"> 173(1), 3–16. https://doi.org/10.1177/1329878X19876362</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 W. (2018, August 1). </w:t>
      </w:r>
      <w:proofErr w:type="gramStart"/>
      <w:r>
        <w:rPr>
          <w:rFonts w:ascii="Times New Roman" w:eastAsia="Times New Roman" w:hAnsi="Times New Roman" w:cs="Times New Roman"/>
          <w:i/>
          <w:sz w:val="24"/>
          <w:szCs w:val="24"/>
        </w:rPr>
        <w:t>Xi’s</w:t>
      </w:r>
      <w:proofErr w:type="gramEnd"/>
      <w:r>
        <w:rPr>
          <w:rFonts w:ascii="Times New Roman" w:eastAsia="Times New Roman" w:hAnsi="Times New Roman" w:cs="Times New Roman"/>
          <w:i/>
          <w:sz w:val="24"/>
          <w:szCs w:val="24"/>
        </w:rPr>
        <w:t xml:space="preserve"> Grip Loosens Amid Trade War Policy Paralysis</w:t>
      </w:r>
      <w:r>
        <w:rPr>
          <w:rFonts w:ascii="Times New Roman" w:eastAsia="Times New Roman" w:hAnsi="Times New Roman" w:cs="Times New Roman"/>
          <w:sz w:val="24"/>
          <w:szCs w:val="24"/>
        </w:rPr>
        <w:t xml:space="preserve">. Retrieved from </w:t>
      </w:r>
      <w:hyperlink r:id="rId73">
        <w:r>
          <w:rPr>
            <w:rFonts w:ascii="Times New Roman" w:eastAsia="Times New Roman" w:hAnsi="Times New Roman" w:cs="Times New Roman"/>
            <w:sz w:val="24"/>
            <w:szCs w:val="24"/>
            <w:u w:val="single"/>
          </w:rPr>
          <w:t>https://jamestown.org/program/xis-grip-on-authority-loosens-amid-trade-war-policy-paralysis/</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Landreth, J, et al. (2016, March 04). </w:t>
      </w:r>
      <w:r>
        <w:rPr>
          <w:rFonts w:ascii="Times New Roman" w:eastAsia="Times New Roman" w:hAnsi="Times New Roman" w:cs="Times New Roman"/>
          <w:i/>
          <w:sz w:val="24"/>
          <w:szCs w:val="24"/>
        </w:rPr>
        <w:t xml:space="preserve">Xi Jingping: A Cult of Personality? </w:t>
      </w:r>
      <w:r>
        <w:rPr>
          <w:rFonts w:ascii="Times New Roman" w:eastAsia="Times New Roman" w:hAnsi="Times New Roman" w:cs="Times New Roman"/>
          <w:sz w:val="24"/>
          <w:szCs w:val="24"/>
        </w:rPr>
        <w:t xml:space="preserve">Retrieved from </w:t>
      </w:r>
      <w:hyperlink r:id="rId74">
        <w:r>
          <w:rPr>
            <w:rFonts w:ascii="Times New Roman" w:eastAsia="Times New Roman" w:hAnsi="Times New Roman" w:cs="Times New Roman"/>
            <w:sz w:val="24"/>
            <w:szCs w:val="24"/>
            <w:u w:val="single"/>
          </w:rPr>
          <w:t>http://www.chinafile.com/conversation/xi-jinping-cult-personality</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Luqiu, L. R. (2016). The Reappearance of the Cult of Personality in China.</w:t>
      </w:r>
      <w:r>
        <w:rPr>
          <w:rFonts w:ascii="Times New Roman" w:eastAsia="Times New Roman" w:hAnsi="Times New Roman" w:cs="Times New Roman"/>
          <w:i/>
          <w:sz w:val="24"/>
          <w:szCs w:val="24"/>
        </w:rPr>
        <w:t xml:space="preserve"> East Asia, 33</w:t>
      </w:r>
      <w:r>
        <w:rPr>
          <w:rFonts w:ascii="Times New Roman" w:eastAsia="Times New Roman" w:hAnsi="Times New Roman" w:cs="Times New Roman"/>
          <w:sz w:val="24"/>
          <w:szCs w:val="24"/>
        </w:rPr>
        <w:t xml:space="preserve">(4), 289–307. Retrieved from </w:t>
      </w:r>
      <w:r>
        <w:rPr>
          <w:rFonts w:ascii="Times New Roman" w:eastAsia="Times New Roman" w:hAnsi="Times New Roman" w:cs="Times New Roman"/>
          <w:color w:val="333333"/>
          <w:sz w:val="24"/>
          <w:szCs w:val="24"/>
          <w:highlight w:val="white"/>
        </w:rPr>
        <w:t>https://doi.org/10.1007/s12140-016-9262-x</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Minzner, C. (2015). China </w:t>
      </w:r>
      <w:proofErr w:type="gramStart"/>
      <w:r>
        <w:rPr>
          <w:rFonts w:ascii="Times New Roman" w:eastAsia="Times New Roman" w:hAnsi="Times New Roman" w:cs="Times New Roman"/>
          <w:sz w:val="24"/>
          <w:szCs w:val="24"/>
        </w:rPr>
        <w:t>After</w:t>
      </w:r>
      <w:proofErr w:type="gramEnd"/>
      <w:r>
        <w:rPr>
          <w:rFonts w:ascii="Times New Roman" w:eastAsia="Times New Roman" w:hAnsi="Times New Roman" w:cs="Times New Roman"/>
          <w:sz w:val="24"/>
          <w:szCs w:val="24"/>
        </w:rPr>
        <w:t xml:space="preserve"> the Reform Era. </w:t>
      </w:r>
      <w:r>
        <w:rPr>
          <w:rFonts w:ascii="Times New Roman" w:eastAsia="Times New Roman" w:hAnsi="Times New Roman" w:cs="Times New Roman"/>
          <w:i/>
          <w:sz w:val="24"/>
          <w:szCs w:val="24"/>
        </w:rPr>
        <w:t>Journal of Democracy, 26</w:t>
      </w:r>
      <w:r>
        <w:rPr>
          <w:rFonts w:ascii="Times New Roman" w:eastAsia="Times New Roman" w:hAnsi="Times New Roman" w:cs="Times New Roman"/>
          <w:sz w:val="24"/>
          <w:szCs w:val="24"/>
        </w:rPr>
        <w:t xml:space="preserve">(3), 131-143. Retrieved from </w:t>
      </w:r>
      <w:hyperlink r:id="rId75">
        <w:r>
          <w:rPr>
            <w:rFonts w:ascii="Times New Roman" w:eastAsia="Times New Roman" w:hAnsi="Times New Roman" w:cs="Times New Roman"/>
            <w:sz w:val="24"/>
            <w:szCs w:val="24"/>
            <w:u w:val="single"/>
          </w:rPr>
          <w:t>https://papers.ssrn.com/sol3/papers.cfm?abstract_id=2630824</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Phillips, T. (2018, March 5). </w:t>
      </w:r>
      <w:r>
        <w:rPr>
          <w:rFonts w:ascii="Times New Roman" w:eastAsia="Times New Roman" w:hAnsi="Times New Roman" w:cs="Times New Roman"/>
          <w:i/>
          <w:sz w:val="24"/>
          <w:szCs w:val="24"/>
        </w:rPr>
        <w:t>China told to follow the leader Xi Jinping in thought, word and deed.</w:t>
      </w:r>
      <w:r>
        <w:rPr>
          <w:rFonts w:ascii="Times New Roman" w:eastAsia="Times New Roman" w:hAnsi="Times New Roman" w:cs="Times New Roman"/>
          <w:sz w:val="24"/>
          <w:szCs w:val="24"/>
        </w:rPr>
        <w:t xml:space="preserve"> Retrieved from </w:t>
      </w:r>
      <w:hyperlink r:id="rId76">
        <w:r>
          <w:rPr>
            <w:rFonts w:ascii="Times New Roman" w:eastAsia="Times New Roman" w:hAnsi="Times New Roman" w:cs="Times New Roman"/>
            <w:sz w:val="24"/>
            <w:szCs w:val="24"/>
            <w:u w:val="single"/>
          </w:rPr>
          <w:t>https://www.theguardian.com/world/2018/mar/05/china-told-to-follow-the-leader-xi-jinping-in-thought-word-and-deed</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Schrift, M. (2001). </w:t>
      </w:r>
      <w:r>
        <w:rPr>
          <w:rFonts w:ascii="Times New Roman" w:eastAsia="Times New Roman" w:hAnsi="Times New Roman" w:cs="Times New Roman"/>
          <w:i/>
          <w:sz w:val="24"/>
          <w:szCs w:val="24"/>
        </w:rPr>
        <w:t>Biography of a Chairman Mao Badge: The creation and mass consumption of a personality cult</w:t>
      </w:r>
      <w:r>
        <w:rPr>
          <w:rFonts w:ascii="Times New Roman" w:eastAsia="Times New Roman" w:hAnsi="Times New Roman" w:cs="Times New Roman"/>
          <w:sz w:val="24"/>
          <w:szCs w:val="24"/>
        </w:rPr>
        <w:t>. New Brunswick, NJ: Rutgers University Press.</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Tucker, R. C. (1968)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Theory of Charismatic Leadership. </w:t>
      </w:r>
      <w:r>
        <w:rPr>
          <w:rFonts w:ascii="Times New Roman" w:eastAsia="Times New Roman" w:hAnsi="Times New Roman" w:cs="Times New Roman"/>
          <w:i/>
          <w:sz w:val="24"/>
          <w:szCs w:val="24"/>
        </w:rPr>
        <w:t>Daedalus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97</w:t>
      </w:r>
      <w:r>
        <w:rPr>
          <w:rFonts w:ascii="Times New Roman" w:eastAsia="Times New Roman" w:hAnsi="Times New Roman" w:cs="Times New Roman"/>
          <w:sz w:val="24"/>
          <w:szCs w:val="24"/>
        </w:rPr>
        <w:t xml:space="preserve">(3), 731-756. Retrieved from </w:t>
      </w:r>
      <w:hyperlink r:id="rId77">
        <w:r>
          <w:rPr>
            <w:rFonts w:ascii="Times New Roman" w:eastAsia="Times New Roman" w:hAnsi="Times New Roman" w:cs="Times New Roman"/>
            <w:sz w:val="24"/>
            <w:szCs w:val="24"/>
            <w:u w:val="single"/>
          </w:rPr>
          <w:t>https://www.jstor.org/stable/pdf/20023840.pdf</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X. (2019, March 16). </w:t>
      </w:r>
      <w:r>
        <w:rPr>
          <w:rFonts w:ascii="Times New Roman" w:eastAsia="Times New Roman" w:hAnsi="Times New Roman" w:cs="Times New Roman"/>
          <w:i/>
          <w:sz w:val="24"/>
          <w:szCs w:val="24"/>
        </w:rPr>
        <w:t>‘Di Jihong’ and ‘</w:t>
      </w:r>
      <w:proofErr w:type="gramStart"/>
      <w:r>
        <w:rPr>
          <w:rFonts w:ascii="Times New Roman" w:eastAsia="Times New Roman" w:hAnsi="Times New Roman" w:cs="Times New Roman"/>
          <w:i/>
          <w:sz w:val="24"/>
          <w:szCs w:val="24"/>
        </w:rPr>
        <w:t>Gao</w:t>
      </w:r>
      <w:proofErr w:type="gramEnd"/>
      <w:r>
        <w:rPr>
          <w:rFonts w:ascii="Times New Roman" w:eastAsia="Times New Roman" w:hAnsi="Times New Roman" w:cs="Times New Roman"/>
          <w:i/>
          <w:sz w:val="24"/>
          <w:szCs w:val="24"/>
        </w:rPr>
        <w:t xml:space="preserve"> Jihei’ are signs China’s flattery of Xi Jinping has gone too far. </w:t>
      </w:r>
      <w:r>
        <w:rPr>
          <w:rFonts w:ascii="Times New Roman" w:eastAsia="Times New Roman" w:hAnsi="Times New Roman" w:cs="Times New Roman"/>
          <w:sz w:val="24"/>
          <w:szCs w:val="24"/>
        </w:rPr>
        <w:t xml:space="preserve">Retrieved from </w:t>
      </w:r>
      <w:hyperlink r:id="rId78">
        <w:r>
          <w:rPr>
            <w:rFonts w:ascii="Times New Roman" w:eastAsia="Times New Roman" w:hAnsi="Times New Roman" w:cs="Times New Roman"/>
            <w:sz w:val="24"/>
            <w:szCs w:val="24"/>
            <w:u w:val="single"/>
          </w:rPr>
          <w:t>https://www.scmp.com/week-asia/opinion/article/3001866/chinas-two-sessions-was-xi-worship-straight-out-old-communist</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sidRPr="001E516C">
        <w:rPr>
          <w:rFonts w:ascii="Times New Roman" w:eastAsia="Times New Roman" w:hAnsi="Times New Roman" w:cs="Times New Roman"/>
          <w:sz w:val="24"/>
          <w:szCs w:val="24"/>
          <w:lang w:val="de-DE"/>
        </w:rPr>
        <w:t xml:space="preserve">Weber, M., Gerth, H., &amp; Mills, C. W. (2009). </w:t>
      </w:r>
      <w:r>
        <w:rPr>
          <w:rFonts w:ascii="Times New Roman" w:eastAsia="Times New Roman" w:hAnsi="Times New Roman" w:cs="Times New Roman"/>
          <w:i/>
          <w:sz w:val="24"/>
          <w:szCs w:val="24"/>
        </w:rPr>
        <w:t>From Max Weber: Essays in sociology</w:t>
      </w:r>
      <w:r>
        <w:rPr>
          <w:rFonts w:ascii="Times New Roman" w:eastAsia="Times New Roman" w:hAnsi="Times New Roman" w:cs="Times New Roman"/>
          <w:sz w:val="24"/>
          <w:szCs w:val="24"/>
        </w:rPr>
        <w:t xml:space="preserve"> (New.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New York, New York: Routledge.</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Max Weber. (1947).</w:t>
      </w:r>
      <w:r>
        <w:rPr>
          <w:rFonts w:ascii="Times New Roman" w:eastAsia="Times New Roman" w:hAnsi="Times New Roman" w:cs="Times New Roman"/>
          <w:i/>
          <w:sz w:val="24"/>
          <w:szCs w:val="24"/>
        </w:rPr>
        <w:t xml:space="preserve"> Theory of Social and Economic Organization</w:t>
      </w:r>
      <w:r>
        <w:rPr>
          <w:rFonts w:ascii="Times New Roman" w:eastAsia="Times New Roman" w:hAnsi="Times New Roman" w:cs="Times New Roman"/>
          <w:sz w:val="24"/>
          <w:szCs w:val="24"/>
        </w:rPr>
        <w:t>. New York: Free Press</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Yin, L., &amp; Flew, T. (2018). Xi Dada loves Peng Mama: Digital culture and the return of charismatic authority in China. </w:t>
      </w:r>
      <w:r>
        <w:rPr>
          <w:rFonts w:ascii="Times New Roman" w:eastAsia="Times New Roman" w:hAnsi="Times New Roman" w:cs="Times New Roman"/>
          <w:i/>
          <w:sz w:val="24"/>
          <w:szCs w:val="24"/>
        </w:rPr>
        <w:t xml:space="preserve">Thesis </w:t>
      </w:r>
      <w:proofErr w:type="gramStart"/>
      <w:r>
        <w:rPr>
          <w:rFonts w:ascii="Times New Roman" w:eastAsia="Times New Roman" w:hAnsi="Times New Roman" w:cs="Times New Roman"/>
          <w:i/>
          <w:sz w:val="24"/>
          <w:szCs w:val="24"/>
        </w:rPr>
        <w:t>Eleven</w:t>
      </w:r>
      <w:proofErr w:type="gramEnd"/>
      <w:r>
        <w:rPr>
          <w:rFonts w:ascii="Times New Roman" w:eastAsia="Times New Roman" w:hAnsi="Times New Roman" w:cs="Times New Roman"/>
          <w:sz w:val="24"/>
          <w:szCs w:val="24"/>
        </w:rPr>
        <w:t xml:space="preserve">, 144(1), 80–99. Retrieved from </w:t>
      </w:r>
      <w:hyperlink r:id="rId79">
        <w:r>
          <w:rPr>
            <w:rFonts w:ascii="Times New Roman" w:eastAsia="Times New Roman" w:hAnsi="Times New Roman" w:cs="Times New Roman"/>
            <w:sz w:val="24"/>
            <w:szCs w:val="24"/>
            <w:u w:val="single"/>
          </w:rPr>
          <w:t>https://doi.org/10.1177/0725513618756098</w:t>
        </w:r>
      </w:hyperlink>
    </w:p>
    <w:p w:rsidR="00C30C8B" w:rsidRDefault="00C30C8B">
      <w:pPr>
        <w:rPr>
          <w:rFonts w:ascii="Times New Roman" w:eastAsia="Times New Roman" w:hAnsi="Times New Roman" w:cs="Times New Roman"/>
          <w:sz w:val="24"/>
          <w:szCs w:val="24"/>
        </w:rPr>
      </w:pPr>
    </w:p>
    <w:p w:rsidR="00C30C8B" w:rsidRDefault="00C30C8B">
      <w:pPr>
        <w:rPr>
          <w:rFonts w:ascii="Times New Roman" w:eastAsia="Times New Roman" w:hAnsi="Times New Roman" w:cs="Times New Roman"/>
          <w:b/>
          <w:sz w:val="24"/>
          <w:szCs w:val="24"/>
        </w:rPr>
      </w:pPr>
    </w:p>
    <w:p w:rsidR="00C30C8B" w:rsidRDefault="00C30C8B">
      <w:pPr>
        <w:rPr>
          <w:rFonts w:ascii="Times New Roman" w:eastAsia="Times New Roman" w:hAnsi="Times New Roman" w:cs="Times New Roman"/>
          <w:b/>
          <w:sz w:val="24"/>
          <w:szCs w:val="24"/>
        </w:rPr>
      </w:pPr>
    </w:p>
    <w:p w:rsidR="00C30C8B" w:rsidRDefault="001E51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the Author:</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Tyler Lynch is a third-year student majoring in political science. </w:t>
      </w:r>
      <w:proofErr w:type="gramStart"/>
      <w:r>
        <w:rPr>
          <w:rFonts w:ascii="Times New Roman" w:eastAsia="Times New Roman" w:hAnsi="Times New Roman" w:cs="Times New Roman"/>
          <w:color w:val="222222"/>
          <w:sz w:val="24"/>
          <w:szCs w:val="24"/>
          <w:highlight w:val="white"/>
        </w:rPr>
        <w:t>He was born in Taiwan, and spent 15 years in China as a Canadian-Irish expatriate.</w:t>
      </w:r>
      <w:proofErr w:type="gramEnd"/>
      <w:r>
        <w:rPr>
          <w:rFonts w:ascii="Times New Roman" w:eastAsia="Times New Roman" w:hAnsi="Times New Roman" w:cs="Times New Roman"/>
          <w:color w:val="222222"/>
          <w:sz w:val="24"/>
          <w:szCs w:val="24"/>
          <w:highlight w:val="white"/>
        </w:rPr>
        <w:t xml:space="preserve"> His academic interests include modern day authoritarianism, the history of China since the Boxer Rebellion, political philosophy, and the history of Western religion. He is a published author, winning multiple awards for his short stories and nonfiction essays. In his spare time, he draws in pencil and ink, plays the guitar and ukulele, and enjoys boxing.</w:t>
      </w:r>
    </w:p>
    <w:p w:rsidR="00C30C8B" w:rsidRDefault="001E51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Quiet in the eye of the storm: Examining the quality and impact of media coverage of Hurricane Sandy</w:t>
      </w:r>
    </w:p>
    <w:p w:rsidR="00C30C8B" w:rsidRDefault="00C30C8B">
      <w:pPr>
        <w:rPr>
          <w:rFonts w:ascii="Times New Roman" w:eastAsia="Times New Roman" w:hAnsi="Times New Roman" w:cs="Times New Roman"/>
          <w:sz w:val="24"/>
          <w:szCs w:val="24"/>
        </w:rPr>
      </w:pPr>
    </w:p>
    <w:p w:rsidR="00C30C8B" w:rsidRDefault="00C30C8B">
      <w:pPr>
        <w:rPr>
          <w:rFonts w:ascii="Times New Roman" w:eastAsia="Times New Roman" w:hAnsi="Times New Roman" w:cs="Times New Roman"/>
          <w:sz w:val="24"/>
          <w:szCs w:val="24"/>
        </w:rPr>
      </w:pP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Caleb Symons, Tufts University, Medford, Massachusetts, USA</w:t>
      </w:r>
      <w:r>
        <w:rPr>
          <w:rFonts w:ascii="Times New Roman" w:eastAsia="Times New Roman" w:hAnsi="Times New Roman" w:cs="Times New Roman"/>
          <w:b/>
          <w:sz w:val="24"/>
          <w:szCs w:val="24"/>
          <w:vertAlign w:val="superscript"/>
        </w:rPr>
        <w:footnoteReference w:id="1"/>
      </w:r>
      <w:r>
        <w:rPr>
          <w:rFonts w:ascii="Times New Roman" w:eastAsia="Times New Roman" w:hAnsi="Times New Roman" w:cs="Times New Roman"/>
          <w:b/>
          <w:sz w:val="24"/>
          <w:szCs w:val="24"/>
        </w:rPr>
        <w:t xml:space="preserve"> </w:t>
      </w:r>
    </w:p>
    <w:p w:rsidR="00C30C8B" w:rsidRDefault="00C30C8B">
      <w:pPr>
        <w:rPr>
          <w:rFonts w:ascii="Times New Roman" w:eastAsia="Times New Roman" w:hAnsi="Times New Roman" w:cs="Times New Roman"/>
          <w:sz w:val="24"/>
          <w:szCs w:val="24"/>
        </w:rPr>
      </w:pPr>
    </w:p>
    <w:p w:rsidR="00C30C8B" w:rsidRDefault="00C30C8B">
      <w:pPr>
        <w:rPr>
          <w:rFonts w:ascii="Times New Roman" w:eastAsia="Times New Roman" w:hAnsi="Times New Roman" w:cs="Times New Roman"/>
          <w:sz w:val="24"/>
          <w:szCs w:val="24"/>
        </w:rPr>
      </w:pP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C30C8B" w:rsidRDefault="00C30C8B">
      <w:pPr>
        <w:rPr>
          <w:rFonts w:ascii="Times New Roman" w:eastAsia="Times New Roman" w:hAnsi="Times New Roman" w:cs="Times New Roman"/>
          <w:sz w:val="24"/>
          <w:szCs w:val="24"/>
        </w:rPr>
      </w:pPr>
    </w:p>
    <w:p w:rsidR="00C30C8B" w:rsidRDefault="001E51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United States has seen increases in the frequency and force of extreme weather events in recent years, both of which result from global climate change. As these storms take a great toll, physical and emotional, on communities across the country, they make painfully tangible the impact of what has long been an abstract concern. In order to demand effective solutions, however, citizens require an insightful, nuanced understanding of climate change’s destructive power. This study examines media coverage of Hurricane Sandy, which devastated much of the East Coast in 2012, to determine how and to what extent the U.S. media is responsible for public awareness of this issue. Quantitative and qualitative analyses reveal that coverage of Hurricane Sandy rarely linked the storm to climate change and often included the same biases that have plagued past climate reporting and suppress political mobilization.</w:t>
      </w:r>
    </w:p>
    <w:p w:rsidR="00C30C8B" w:rsidRDefault="00C30C8B">
      <w:pPr>
        <w:rPr>
          <w:rFonts w:ascii="Times New Roman" w:eastAsia="Times New Roman" w:hAnsi="Times New Roman" w:cs="Times New Roman"/>
          <w:sz w:val="24"/>
          <w:szCs w:val="24"/>
        </w:rPr>
      </w:pP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Hurricane Sandy; Journalism; Media Bias; Climate Change, Global Warming, Risk Perception, Political Mobilization.</w:t>
      </w:r>
    </w:p>
    <w:p w:rsidR="00C30C8B" w:rsidRDefault="00C30C8B">
      <w:pPr>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tabs>
          <w:tab w:val="left" w:pos="8041"/>
        </w:tabs>
        <w:spacing w:line="480" w:lineRule="auto"/>
        <w:rPr>
          <w:rFonts w:ascii="Times New Roman" w:eastAsia="Times New Roman" w:hAnsi="Times New Roman" w:cs="Times New Roman"/>
          <w:sz w:val="24"/>
          <w:szCs w:val="24"/>
        </w:rPr>
      </w:pPr>
    </w:p>
    <w:p w:rsidR="001E516C" w:rsidRDefault="001E516C">
      <w:pPr>
        <w:tabs>
          <w:tab w:val="left" w:pos="8041"/>
        </w:tabs>
        <w:spacing w:line="480" w:lineRule="auto"/>
        <w:rPr>
          <w:rFonts w:ascii="Times New Roman" w:eastAsia="Times New Roman" w:hAnsi="Times New Roman" w:cs="Times New Roman"/>
          <w:sz w:val="24"/>
          <w:szCs w:val="24"/>
        </w:rPr>
      </w:pPr>
    </w:p>
    <w:p w:rsidR="001E516C" w:rsidRDefault="001E516C">
      <w:pPr>
        <w:tabs>
          <w:tab w:val="left" w:pos="8041"/>
        </w:tabs>
        <w:spacing w:line="480" w:lineRule="auto"/>
        <w:rPr>
          <w:rFonts w:ascii="Times New Roman" w:eastAsia="Times New Roman" w:hAnsi="Times New Roman" w:cs="Times New Roman"/>
          <w:sz w:val="24"/>
          <w:szCs w:val="24"/>
        </w:rPr>
      </w:pPr>
    </w:p>
    <w:p w:rsidR="00C30C8B" w:rsidRDefault="001E516C" w:rsidP="007F459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Introduction</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Hurricane Sandy slammed into the United States’ eastern seaboard on October 29, 2012, grinding everyday life to a halt and leaving a wake of destruction in its path. New York and New Jersey bore the worst of the storm’s impact, as their public transportation systems shut down completely and many residents </w:t>
      </w:r>
      <w:proofErr w:type="gramStart"/>
      <w:r>
        <w:rPr>
          <w:rFonts w:ascii="Times New Roman" w:eastAsia="Times New Roman" w:hAnsi="Times New Roman" w:cs="Times New Roman"/>
          <w:sz w:val="24"/>
          <w:szCs w:val="24"/>
        </w:rPr>
        <w:t>were forced</w:t>
      </w:r>
      <w:proofErr w:type="gramEnd"/>
      <w:r>
        <w:rPr>
          <w:rFonts w:ascii="Times New Roman" w:eastAsia="Times New Roman" w:hAnsi="Times New Roman" w:cs="Times New Roman"/>
          <w:sz w:val="24"/>
          <w:szCs w:val="24"/>
        </w:rPr>
        <w:t xml:space="preserve"> to evacuate. In New Jersey alone, more than 346,000 homes </w:t>
      </w:r>
      <w:proofErr w:type="gramStart"/>
      <w:r>
        <w:rPr>
          <w:rFonts w:ascii="Times New Roman" w:eastAsia="Times New Roman" w:hAnsi="Times New Roman" w:cs="Times New Roman"/>
          <w:sz w:val="24"/>
          <w:szCs w:val="24"/>
        </w:rPr>
        <w:t>were damaged or destroyed from the ensuing floods,</w:t>
      </w:r>
      <w:proofErr w:type="gramEnd"/>
      <w:r>
        <w:rPr>
          <w:rFonts w:ascii="Times New Roman" w:eastAsia="Times New Roman" w:hAnsi="Times New Roman" w:cs="Times New Roman"/>
          <w:sz w:val="24"/>
          <w:szCs w:val="24"/>
        </w:rPr>
        <w:t xml:space="preserve"> and two million people were left without power (FEMA Fact Sheet, 2018). Hurricane Sandy was ultimately directly responsible for 72 deaths throughout the Northeast—the greatest number of direct fatalities attributed to a tropical storm outside the South in 40 years (Blake et al., 2013). It was also the second-most costly hurricane in U.S. history to that point, after Hurricane Katrina, with over $70 billion in damages to homes, businesses, and critical infrastructure (FEMA Fact Sheet, 2018). </w:t>
      </w:r>
      <w:proofErr w:type="gramStart"/>
      <w:r>
        <w:rPr>
          <w:rFonts w:ascii="Times New Roman" w:eastAsia="Times New Roman" w:hAnsi="Times New Roman" w:cs="Times New Roman"/>
          <w:sz w:val="24"/>
          <w:szCs w:val="24"/>
        </w:rPr>
        <w:t>7,000</w:t>
      </w:r>
      <w:proofErr w:type="gramEnd"/>
      <w:r>
        <w:rPr>
          <w:rFonts w:ascii="Times New Roman" w:eastAsia="Times New Roman" w:hAnsi="Times New Roman" w:cs="Times New Roman"/>
          <w:sz w:val="24"/>
          <w:szCs w:val="24"/>
        </w:rPr>
        <w:t xml:space="preserve"> National Guard troops were mobilized in response, and the federal government passed a $50.5 billion relief package in January (Obama Signs, 2013). A week after the storm, many schools remained closed, tens of thousands of people were without housing, and over two million Americans still did not have power (Hurricane Sandy Fast Facts, 2018).</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connection between climate change and extreme weather events has been </w:t>
      </w:r>
      <w:proofErr w:type="gramStart"/>
      <w:r>
        <w:rPr>
          <w:rFonts w:ascii="Times New Roman" w:eastAsia="Times New Roman" w:hAnsi="Times New Roman" w:cs="Times New Roman"/>
          <w:sz w:val="24"/>
          <w:szCs w:val="24"/>
        </w:rPr>
        <w:t>well-documented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Coincidentally, 2012 represented a notable year in scientific literature on this issue, as the United Nations’ Intergovernmental Panel on Climate Change (IPCC) released in June a landmark report that documented a growing risk of extreme coastal flooding due to mean sea level rise, rising economic losses from climate-related disasters, and the potential for significant population flows due to extreme weather (Managing the Risks, 2012).</w:t>
      </w:r>
      <w:proofErr w:type="gramEnd"/>
      <w:r>
        <w:rPr>
          <w:rFonts w:ascii="Times New Roman" w:eastAsia="Times New Roman" w:hAnsi="Times New Roman" w:cs="Times New Roman"/>
          <w:sz w:val="24"/>
          <w:szCs w:val="24"/>
        </w:rPr>
        <w:t xml:space="preserve"> The report concluded with “medium confidence that anthropogenic influences have contributed to intensification of extreme precipitation” and that “it is likely that there has been an anthropogenic influence on increasing </w:t>
      </w:r>
      <w:r>
        <w:rPr>
          <w:rFonts w:ascii="Times New Roman" w:eastAsia="Times New Roman" w:hAnsi="Times New Roman" w:cs="Times New Roman"/>
          <w:sz w:val="24"/>
          <w:szCs w:val="24"/>
        </w:rPr>
        <w:lastRenderedPageBreak/>
        <w:t xml:space="preserve">extreme coastal high water due to an increase in mean sea level.” It cautioned, however, that it is difficult </w:t>
      </w:r>
      <w:proofErr w:type="gramStart"/>
      <w:r>
        <w:rPr>
          <w:rFonts w:ascii="Times New Roman" w:eastAsia="Times New Roman" w:hAnsi="Times New Roman" w:cs="Times New Roman"/>
          <w:sz w:val="24"/>
          <w:szCs w:val="24"/>
        </w:rPr>
        <w:t>to conclusively attribute</w:t>
      </w:r>
      <w:proofErr w:type="gramEnd"/>
      <w:r>
        <w:rPr>
          <w:rFonts w:ascii="Times New Roman" w:eastAsia="Times New Roman" w:hAnsi="Times New Roman" w:cs="Times New Roman"/>
          <w:sz w:val="24"/>
          <w:szCs w:val="24"/>
        </w:rPr>
        <w:t xml:space="preserve"> any single weather event to anthropogenic climate change.</w:t>
      </w:r>
    </w:p>
    <w:p w:rsidR="00C30C8B" w:rsidRDefault="001E516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Nonetheless, </w:t>
      </w:r>
      <w:r>
        <w:rPr>
          <w:rFonts w:ascii="Times New Roman" w:eastAsia="Times New Roman" w:hAnsi="Times New Roman" w:cs="Times New Roman"/>
          <w:sz w:val="24"/>
          <w:szCs w:val="24"/>
          <w:highlight w:val="white"/>
        </w:rPr>
        <w:t>researchers at the National Center for Atmospheric Research concluded as “readily apparent that [Hurricane Sandy’s] storm surge and associated damage was considerably influenced by climate change” less than three years later (Trenberth et al., 2015, p. 728). The team cited meteorological data from the European Centre for Medium-Range Weather Forecasts that compared the influence of observed sea surface temperatures (SSTs) and sea levels—both of which increase with global warming—to lower degrees of those metrics. It demonstrated that higher SSTs did not significantly alter the storm’s path but resulted in stronger winds by 3.6 m/s and greater precipitation by 35 percent. The report concluded that without these factors, as well as an observed sea level rise of about 19 centimeters, “it is quite possible that the subways and tunnels might not have flooded,” potentially mitigating billions of dollars in damages.</w:t>
      </w:r>
    </w:p>
    <w:p w:rsidR="00C30C8B" w:rsidRDefault="001E516C" w:rsidP="007F459E">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 Hurricane Sandy </w:t>
      </w:r>
      <w:proofErr w:type="gramStart"/>
      <w:r>
        <w:rPr>
          <w:rFonts w:ascii="Times New Roman" w:eastAsia="Times New Roman" w:hAnsi="Times New Roman" w:cs="Times New Roman"/>
          <w:sz w:val="24"/>
          <w:szCs w:val="24"/>
          <w:highlight w:val="white"/>
        </w:rPr>
        <w:t>impacted</w:t>
      </w:r>
      <w:proofErr w:type="gramEnd"/>
      <w:r>
        <w:rPr>
          <w:rFonts w:ascii="Times New Roman" w:eastAsia="Times New Roman" w:hAnsi="Times New Roman" w:cs="Times New Roman"/>
          <w:sz w:val="24"/>
          <w:szCs w:val="24"/>
          <w:highlight w:val="white"/>
        </w:rPr>
        <w:t xml:space="preserve"> the United States’ largest municipal area and economic hub, it received no shortage of media attention. In the weeks and months that followed, much of the news was dedicated to the resulting damage and rebuilding efforts, including some that examined climate change as a factor in the storm’s historic potency. This coverage is particularly interesting at a time when there seems to be </w:t>
      </w:r>
      <w:proofErr w:type="gramStart"/>
      <w:r>
        <w:rPr>
          <w:rFonts w:ascii="Times New Roman" w:eastAsia="Times New Roman" w:hAnsi="Times New Roman" w:cs="Times New Roman"/>
          <w:sz w:val="24"/>
          <w:szCs w:val="24"/>
          <w:highlight w:val="white"/>
        </w:rPr>
        <w:t>a disconnect</w:t>
      </w:r>
      <w:proofErr w:type="gramEnd"/>
      <w:r>
        <w:rPr>
          <w:rFonts w:ascii="Times New Roman" w:eastAsia="Times New Roman" w:hAnsi="Times New Roman" w:cs="Times New Roman"/>
          <w:sz w:val="24"/>
          <w:szCs w:val="24"/>
          <w:highlight w:val="white"/>
        </w:rPr>
        <w:t xml:space="preserve"> between public opinion on climate change and public policy. Despite the fact that </w:t>
      </w:r>
      <w:proofErr w:type="gramStart"/>
      <w:r>
        <w:rPr>
          <w:rFonts w:ascii="Times New Roman" w:eastAsia="Times New Roman" w:hAnsi="Times New Roman" w:cs="Times New Roman"/>
          <w:sz w:val="24"/>
          <w:szCs w:val="24"/>
          <w:highlight w:val="white"/>
        </w:rPr>
        <w:t>a large majority of Americans are</w:t>
      </w:r>
      <w:proofErr w:type="gramEnd"/>
      <w:r>
        <w:rPr>
          <w:rFonts w:ascii="Times New Roman" w:eastAsia="Times New Roman" w:hAnsi="Times New Roman" w:cs="Times New Roman"/>
          <w:sz w:val="24"/>
          <w:szCs w:val="24"/>
          <w:highlight w:val="white"/>
        </w:rPr>
        <w:t xml:space="preserve"> concerned about climate change and many of them support policies to combat it, public officials have largely struggled or been unwilling to implement such policies (Irfan, 2019).</w:t>
      </w:r>
    </w:p>
    <w:p w:rsidR="00C30C8B" w:rsidRDefault="001E516C" w:rsidP="007F459E">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 the media </w:t>
      </w:r>
      <w:proofErr w:type="gramStart"/>
      <w:r>
        <w:rPr>
          <w:rFonts w:ascii="Times New Roman" w:eastAsia="Times New Roman" w:hAnsi="Times New Roman" w:cs="Times New Roman"/>
          <w:sz w:val="24"/>
          <w:szCs w:val="24"/>
          <w:highlight w:val="white"/>
        </w:rPr>
        <w:t>is often viewed</w:t>
      </w:r>
      <w:proofErr w:type="gramEnd"/>
      <w:r>
        <w:rPr>
          <w:rFonts w:ascii="Times New Roman" w:eastAsia="Times New Roman" w:hAnsi="Times New Roman" w:cs="Times New Roman"/>
          <w:sz w:val="24"/>
          <w:szCs w:val="24"/>
          <w:highlight w:val="white"/>
        </w:rPr>
        <w:t xml:space="preserve"> as a principal driver of public opinion, this paper will endeavor to determine whether local media coverage influences community members’ risk perception of climate change, using Hurricane Sandy as a case study. Such a relationship, if positive and causal, could have major implications for environmental policy.</w:t>
      </w:r>
    </w:p>
    <w:p w:rsidR="00C30C8B" w:rsidRDefault="001E516C" w:rsidP="007F459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Existing literature</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of climate change reporting, with a specific focus on Hurricane Sandy, draws from two bodies of scholarship. The first explores how the media has historically covered climate change and helps to contextualize post-Sandy coverage. The second analyzes the effects of this coverage on public opinion, specifically risk perception, in order to determine its social impact.</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 of the existing literature in the former category comes from Maxwell Boykoff, an associate professor of environmental studies at the University of Colorado Boulder (Maxwell Boykoff, 2015). A quartet of research papers either authored or co-authored by Boykoff, combined with the work of several other scholars, presents a comprehensive overview of historical patterns and biases in media coverage of climate change. These conclusions include the media’s tendency to downplay systemic trends in favor of human-interest stories, the public’s relatively short attention span for any issue, and the outsized platform given to deniers of anthropogenic climate change (Boykoff &amp; Boykoff, 2007). In </w:t>
      </w:r>
      <w:r>
        <w:rPr>
          <w:rFonts w:ascii="Times New Roman" w:eastAsia="Times New Roman" w:hAnsi="Times New Roman" w:cs="Times New Roman"/>
          <w:i/>
          <w:sz w:val="24"/>
          <w:szCs w:val="24"/>
        </w:rPr>
        <w:t>Media Coverage of Climate Change: Current Trends, Strengths, Weaknesses</w:t>
      </w:r>
      <w:r>
        <w:rPr>
          <w:rFonts w:ascii="Times New Roman" w:eastAsia="Times New Roman" w:hAnsi="Times New Roman" w:cs="Times New Roman"/>
          <w:sz w:val="24"/>
          <w:szCs w:val="24"/>
        </w:rPr>
        <w:t xml:space="preserve"> (1997), Boykoff and J. Timmons Roberts examine international coverage of Hurricane Mitch as an empirical example of media bias, noting, among other trends, the failure of local media to provide comprehensive climate change coverage. This conclusion is of particular interest, as a recent Pew Research survey indicates that many Americans rely on local media to stay informed (What are the Local Dynamics, 2019).</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Climate change reporting, like all journalism, has minimal intrinsic value; instead, it </w:t>
      </w:r>
      <w:proofErr w:type="gramStart"/>
      <w:r>
        <w:rPr>
          <w:rFonts w:ascii="Times New Roman" w:eastAsia="Times New Roman" w:hAnsi="Times New Roman" w:cs="Times New Roman"/>
          <w:sz w:val="24"/>
          <w:szCs w:val="24"/>
        </w:rPr>
        <w:t>should be viewed and valued for its impact on public opinion</w:t>
      </w:r>
      <w:proofErr w:type="gramEnd"/>
      <w:r>
        <w:rPr>
          <w:rFonts w:ascii="Times New Roman" w:eastAsia="Times New Roman" w:hAnsi="Times New Roman" w:cs="Times New Roman"/>
          <w:sz w:val="24"/>
          <w:szCs w:val="24"/>
        </w:rPr>
        <w:t xml:space="preserve">. Various scholarship addresses the impact of media coverage regarding issues such as nuclear proliferation and ozone depletion to determine the potential of climate change reporting. Meanwhile, a growing body of literature examines how reports on greenhouse gas emissions, among other aspects of global warming, serve as a catalyst for increasing public awareness. Anabela Carvalho and Jacquelin Burgess demonstrate a positive </w:t>
      </w:r>
      <w:r>
        <w:rPr>
          <w:rFonts w:ascii="Times New Roman" w:eastAsia="Times New Roman" w:hAnsi="Times New Roman" w:cs="Times New Roman"/>
          <w:sz w:val="24"/>
          <w:szCs w:val="24"/>
        </w:rPr>
        <w:lastRenderedPageBreak/>
        <w:t>correlation between British newspapers’ coverage of climate change and public awareness for it, while Yuki Sampei and Midori Ayogi-Usui show a similar dynamic in Japanese media coverage (2005; 2014). Other research indicates that the source of this correlation is unclear, however, due to alternative influences on public awareness—including particularly disruptive social and cultural events, which Sheldon Ungar terms “social scares” (1992, p. 483). Based on this evidence, it appears likely that public awareness, and thus risk perception, is a product of both personal experience and exogenous information.</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analysis applies these conclusions to the example of Hurricane Sandy in an effort to demonstrate how climate change reporting affects issue awareness, public opinion, and political mobilization.</w:t>
      </w:r>
    </w:p>
    <w:p w:rsidR="00C30C8B" w:rsidRDefault="001E516C" w:rsidP="007F459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Media coverage of climate change</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historical analysis reveals that media coverage of climate change </w:t>
      </w:r>
      <w:proofErr w:type="gramStart"/>
      <w:r>
        <w:rPr>
          <w:rFonts w:ascii="Times New Roman" w:eastAsia="Times New Roman" w:hAnsi="Times New Roman" w:cs="Times New Roman"/>
          <w:sz w:val="24"/>
          <w:szCs w:val="24"/>
        </w:rPr>
        <w:t>is often plagued</w:t>
      </w:r>
      <w:proofErr w:type="gramEnd"/>
      <w:r>
        <w:rPr>
          <w:rFonts w:ascii="Times New Roman" w:eastAsia="Times New Roman" w:hAnsi="Times New Roman" w:cs="Times New Roman"/>
          <w:sz w:val="24"/>
          <w:szCs w:val="24"/>
        </w:rPr>
        <w:t xml:space="preserve"> by harmful biases. While such coverage has become increasingly prevalent in recent years, it continues to include these biases. Boykoff and Boykoff conclude that as a result, journalists “have misrepresented the top climate scientific perspective, and thus have perpetrated an informational bias regarding anthropogenic climate change” (2007). This section will review these biases in an attempt to determine how and to what extent they still shape climate change journalism and thereby influence public awareness and mobilization.</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Bias in climate change reporting</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Scholars generally recognize five types of media bias in climate change coverage, which </w:t>
      </w:r>
      <w:proofErr w:type="gramStart"/>
      <w:r>
        <w:rPr>
          <w:rFonts w:ascii="Times New Roman" w:eastAsia="Times New Roman" w:hAnsi="Times New Roman" w:cs="Times New Roman"/>
          <w:sz w:val="24"/>
          <w:szCs w:val="24"/>
        </w:rPr>
        <w:t>can be classified</w:t>
      </w:r>
      <w:proofErr w:type="gramEnd"/>
      <w:r>
        <w:rPr>
          <w:rFonts w:ascii="Times New Roman" w:eastAsia="Times New Roman" w:hAnsi="Times New Roman" w:cs="Times New Roman"/>
          <w:sz w:val="24"/>
          <w:szCs w:val="24"/>
        </w:rPr>
        <w:t xml:space="preserve"> as “first-order” and “second-order” norms (Boykoff &amp; Boykoff, 2007). First-order norms, which influence the selection and framing of climate change stories, include personalization, dramatization, and novelty bias. Second-order norms characterize the specific content of those </w:t>
      </w:r>
      <w:proofErr w:type="gramStart"/>
      <w:r>
        <w:rPr>
          <w:rFonts w:ascii="Times New Roman" w:eastAsia="Times New Roman" w:hAnsi="Times New Roman" w:cs="Times New Roman"/>
          <w:sz w:val="24"/>
          <w:szCs w:val="24"/>
        </w:rPr>
        <w:t>stories and include problems of authority-order</w:t>
      </w:r>
      <w:proofErr w:type="gramEnd"/>
      <w:r>
        <w:rPr>
          <w:rFonts w:ascii="Times New Roman" w:eastAsia="Times New Roman" w:hAnsi="Times New Roman" w:cs="Times New Roman"/>
          <w:sz w:val="24"/>
          <w:szCs w:val="24"/>
        </w:rPr>
        <w:t xml:space="preserve"> and balance bias.</w:t>
      </w:r>
    </w:p>
    <w:p w:rsidR="00C30C8B" w:rsidRDefault="001E516C">
      <w:pPr>
        <w:numPr>
          <w:ilvl w:val="0"/>
          <w:numId w:val="3"/>
        </w:numPr>
        <w:spacing w:line="48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Personalization bias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Personalization bias</w:t>
      </w:r>
      <w:r>
        <w:rPr>
          <w:rFonts w:ascii="Times New Roman" w:eastAsia="Times New Roman" w:hAnsi="Times New Roman" w:cs="Times New Roman"/>
          <w:sz w:val="24"/>
          <w:szCs w:val="24"/>
        </w:rPr>
        <w:t xml:space="preserve"> represents the media’s tendency to ignore the long-term, institutional trends central to a particular issue in favor of emotional human narratives that arise from it (Bennett, 2002, p. 45). Personalization bias weakens public awareness in two ways. For one, it leads people to disregard the structural causes of a problem and thus ignore institutional solutions. Additionally, research shows that </w:t>
      </w:r>
      <w:proofErr w:type="gramStart"/>
      <w:r>
        <w:rPr>
          <w:rFonts w:ascii="Times New Roman" w:eastAsia="Times New Roman" w:hAnsi="Times New Roman" w:cs="Times New Roman"/>
          <w:sz w:val="24"/>
          <w:szCs w:val="24"/>
        </w:rPr>
        <w:t>human interest</w:t>
      </w:r>
      <w:proofErr w:type="gramEnd"/>
      <w:r>
        <w:rPr>
          <w:rFonts w:ascii="Times New Roman" w:eastAsia="Times New Roman" w:hAnsi="Times New Roman" w:cs="Times New Roman"/>
          <w:sz w:val="24"/>
          <w:szCs w:val="24"/>
        </w:rPr>
        <w:t xml:space="preserve"> stories may be less effective than traditional coverage because they depend on an “affinity between the victim and viewer” that does not always exist (Iyengar &amp; Kinder, 1987, pp. 40-1). Personalization bias was particularly evident following Hurricane Mitch, which caused as many as 19,000 fatalities after striking Honduras in 1998 (Meyer, 2018). International coverage of the storm was extensive but largely focused on the humanitarian response rather than infrastructure deficiencies that contributed to its high death toll and damages (Boykoff &amp; Roberts, 2008). Personalization bias may have rendered reports on Hurricane Mitch particularly impotent because insufficient local journalism meant that </w:t>
      </w:r>
      <w:proofErr w:type="gramStart"/>
      <w:r>
        <w:rPr>
          <w:rFonts w:ascii="Times New Roman" w:eastAsia="Times New Roman" w:hAnsi="Times New Roman" w:cs="Times New Roman"/>
          <w:sz w:val="24"/>
          <w:szCs w:val="24"/>
        </w:rPr>
        <w:t>most coverage was consumed by people</w:t>
      </w:r>
      <w:proofErr w:type="gramEnd"/>
      <w:r>
        <w:rPr>
          <w:rFonts w:ascii="Times New Roman" w:eastAsia="Times New Roman" w:hAnsi="Times New Roman" w:cs="Times New Roman"/>
          <w:sz w:val="24"/>
          <w:szCs w:val="24"/>
        </w:rPr>
        <w:t xml:space="preserve"> with no connection to the victims.</w:t>
      </w:r>
    </w:p>
    <w:p w:rsidR="00C30C8B" w:rsidRDefault="001E516C">
      <w:pPr>
        <w:numPr>
          <w:ilvl w:val="0"/>
          <w:numId w:val="3"/>
        </w:numPr>
        <w:spacing w:line="48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Dramatization bias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Dramatization bias</w:t>
      </w:r>
      <w:r>
        <w:rPr>
          <w:rFonts w:ascii="Times New Roman" w:eastAsia="Times New Roman" w:hAnsi="Times New Roman" w:cs="Times New Roman"/>
          <w:sz w:val="24"/>
          <w:szCs w:val="24"/>
        </w:rPr>
        <w:t xml:space="preserve"> characterizes the skew in news coverage toward disaster and shock-inducing developments. W. Lance Bennett, a political scientist at Yale University, observes that news stories “emphasize crisis over continuity [and] the present over the past or future conflicts” (2002, p. 46). In a 1997 study of media attention, a journalist remarked that they “needed dead people” to justify coverage of a public health issue (Kitzinger &amp; Reilly, 1997, p. 344). In the context of climate change, this means that coverage typically follows, rather than precedes, disruptive natural disasters. This also means that climate coverage often falls off when it cannot “piggyback on dramatic real-world events” (Ungar, 1992, p. 483). For example, research by Carvalho and Burgess indicates that a significant drop in articles about climate change in the early </w:t>
      </w:r>
      <w:r>
        <w:rPr>
          <w:rFonts w:ascii="Times New Roman" w:eastAsia="Times New Roman" w:hAnsi="Times New Roman" w:cs="Times New Roman"/>
          <w:sz w:val="24"/>
          <w:szCs w:val="24"/>
        </w:rPr>
        <w:lastRenderedPageBreak/>
        <w:t>1990s was due to the lack of extreme weather events and the British media’s failure to find “a ‘dramatic’ risk storyline” (2005, p. 1464).</w:t>
      </w:r>
    </w:p>
    <w:p w:rsidR="00C30C8B" w:rsidRDefault="001E516C">
      <w:pPr>
        <w:numPr>
          <w:ilvl w:val="0"/>
          <w:numId w:val="3"/>
        </w:numPr>
        <w:spacing w:line="48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Novelty bias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Novelty bias</w:t>
      </w:r>
      <w:r>
        <w:rPr>
          <w:rFonts w:ascii="Times New Roman" w:eastAsia="Times New Roman" w:hAnsi="Times New Roman" w:cs="Times New Roman"/>
          <w:sz w:val="24"/>
          <w:szCs w:val="24"/>
        </w:rPr>
        <w:t xml:space="preserve"> characterizes the media’s inability to sustain coverage of a certain issue, regardless of its importance. In general, journalists eschew “creeping” (i.e. slow-to-develop) issues in favor of abrupt events (McCright &amp; Dunlap, 2003). This phenomenon is also known as “issue-of-the-month syndrome” or the </w:t>
      </w:r>
      <w:r>
        <w:rPr>
          <w:rFonts w:ascii="Times New Roman" w:eastAsia="Times New Roman" w:hAnsi="Times New Roman" w:cs="Times New Roman"/>
          <w:i/>
          <w:sz w:val="24"/>
          <w:szCs w:val="24"/>
        </w:rPr>
        <w:t>issue-attention cycle</w:t>
      </w:r>
      <w:r>
        <w:rPr>
          <w:rFonts w:ascii="Times New Roman" w:eastAsia="Times New Roman" w:hAnsi="Times New Roman" w:cs="Times New Roman"/>
          <w:sz w:val="24"/>
          <w:szCs w:val="24"/>
        </w:rPr>
        <w:t xml:space="preserve">, a term coined in 1972 by economist Anthony Downs, who observed that public interest in an issue inevitably wanes due to realization about the high costs—both financial and temporal—of solving the problem, thus shrinking demand for coverage of it (Stocking, 1990, p. 40; Downs, 1972). Downs concluded that “public perception of most ‘crises’ in American domestic life does not reflect changes in real conditions as much as it reflects the operation of a systematic cycle of heightening public interest and then increasing boredom with major issues” (1972, p. 39). The issue-attention cycle </w:t>
      </w:r>
      <w:proofErr w:type="gramStart"/>
      <w:r>
        <w:rPr>
          <w:rFonts w:ascii="Times New Roman" w:eastAsia="Times New Roman" w:hAnsi="Times New Roman" w:cs="Times New Roman"/>
          <w:sz w:val="24"/>
          <w:szCs w:val="24"/>
        </w:rPr>
        <w:t>means that</w:t>
      </w:r>
      <w:proofErr w:type="gramEnd"/>
      <w:r>
        <w:rPr>
          <w:rFonts w:ascii="Times New Roman" w:eastAsia="Times New Roman" w:hAnsi="Times New Roman" w:cs="Times New Roman"/>
          <w:sz w:val="24"/>
          <w:szCs w:val="24"/>
        </w:rPr>
        <w:t xml:space="preserve"> “environmental problems … slide out of sight if there is nothing ‘new’ to report” (Stocking, 1990, p. 40). This problem is particularly acute for coverage of climate change, an inherently slow-to-develop issue. The study of British media that attributed a decline in environmental reporting to the lack </w:t>
      </w:r>
      <w:proofErr w:type="gramStart"/>
      <w:r>
        <w:rPr>
          <w:rFonts w:ascii="Times New Roman" w:eastAsia="Times New Roman" w:hAnsi="Times New Roman" w:cs="Times New Roman"/>
          <w:sz w:val="24"/>
          <w:szCs w:val="24"/>
        </w:rPr>
        <w:t>of a dramatic climate catastrophes</w:t>
      </w:r>
      <w:proofErr w:type="gramEnd"/>
      <w:r>
        <w:rPr>
          <w:rFonts w:ascii="Times New Roman" w:eastAsia="Times New Roman" w:hAnsi="Times New Roman" w:cs="Times New Roman"/>
          <w:sz w:val="24"/>
          <w:szCs w:val="24"/>
        </w:rPr>
        <w:t xml:space="preserve"> also concluded that “editorial ‘fatigue’” likely played a role (Carvalho &amp; Burgess, 2005, p. 1464).</w:t>
      </w:r>
    </w:p>
    <w:p w:rsidR="00C30C8B" w:rsidRDefault="001E516C">
      <w:pPr>
        <w:numPr>
          <w:ilvl w:val="0"/>
          <w:numId w:val="3"/>
        </w:numPr>
        <w:spacing w:line="48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Authority-order bias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Authority-order bias</w:t>
      </w:r>
      <w:r>
        <w:rPr>
          <w:rFonts w:ascii="Times New Roman" w:eastAsia="Times New Roman" w:hAnsi="Times New Roman" w:cs="Times New Roman"/>
          <w:sz w:val="24"/>
          <w:szCs w:val="24"/>
        </w:rPr>
        <w:t xml:space="preserve"> represents the media’s tendency to consult widely recognized authority figures in a crisis, even if their expertise is not relevant to the particular situation. As a result, news reports about climate change often rely on politicians, rather than scientists, for analysis, despite their relative lack of climate knowledge. This deprives voters of accurate information because public officials have an electoral incentive to misrepresent the situation and </w:t>
      </w:r>
      <w:r>
        <w:rPr>
          <w:rFonts w:ascii="Times New Roman" w:eastAsia="Times New Roman" w:hAnsi="Times New Roman" w:cs="Times New Roman"/>
          <w:sz w:val="24"/>
          <w:szCs w:val="24"/>
        </w:rPr>
        <w:lastRenderedPageBreak/>
        <w:t xml:space="preserve">“reassure the public that order, safety, and security will soon be restored” (Boykoff &amp; Boykoff, 2007). Authority-order bias </w:t>
      </w:r>
      <w:proofErr w:type="gramStart"/>
      <w:r>
        <w:rPr>
          <w:rFonts w:ascii="Times New Roman" w:eastAsia="Times New Roman" w:hAnsi="Times New Roman" w:cs="Times New Roman"/>
          <w:sz w:val="24"/>
          <w:szCs w:val="24"/>
        </w:rPr>
        <w:t>is also intertwined</w:t>
      </w:r>
      <w:proofErr w:type="gramEnd"/>
      <w:r>
        <w:rPr>
          <w:rFonts w:ascii="Times New Roman" w:eastAsia="Times New Roman" w:hAnsi="Times New Roman" w:cs="Times New Roman"/>
          <w:sz w:val="24"/>
          <w:szCs w:val="24"/>
        </w:rPr>
        <w:t xml:space="preserve"> with a more dangerous second-order norm: balance bias.</w:t>
      </w:r>
    </w:p>
    <w:p w:rsidR="00C30C8B" w:rsidRDefault="001E516C">
      <w:pPr>
        <w:numPr>
          <w:ilvl w:val="0"/>
          <w:numId w:val="3"/>
        </w:numPr>
        <w:spacing w:line="48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Balance bias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media often provides an equal platform to people on both sides of an issue without regard for the merits of their positions, thus legitimizing those ideologies. This dynamic, known as </w:t>
      </w:r>
      <w:r>
        <w:rPr>
          <w:rFonts w:ascii="Times New Roman" w:eastAsia="Times New Roman" w:hAnsi="Times New Roman" w:cs="Times New Roman"/>
          <w:i/>
          <w:sz w:val="24"/>
          <w:szCs w:val="24"/>
        </w:rPr>
        <w:t>balance bias</w:t>
      </w:r>
      <w:r>
        <w:rPr>
          <w:rFonts w:ascii="Times New Roman" w:eastAsia="Times New Roman" w:hAnsi="Times New Roman" w:cs="Times New Roman"/>
          <w:sz w:val="24"/>
          <w:szCs w:val="24"/>
        </w:rPr>
        <w:t>, typically stems from institutional problems in journalism, which include tight deadlines, reporters’ lack of knowledge about an issue, and a commercial desire to appeal to the median consumer (Boykoff &amp; Boykoff, 2007; Carvalho &amp; Burgess, 2005). Balance bias is especially prevalent in coverage of anthropogenic climate change, which the media often frames as politically and scientifically contentious, despite overwhelming scientific evidence indicating its existence. A 15-year study of leading U.S. newspapers revealed that over 52 percent of their climate change coverage “gave roughly equal attention” to views attributing global warming to human activity and views attributing it to natural climate fluctuations (Boykoff &amp; Boykoff, 2004, 129). By amplifying political debate, the media justifies the scientifically dubious logic of anthropogenic climate change deniers (Boykoff, 2007).</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Recent trends in climate change coverage</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Media attention to climate change has increased in recent years, though it is unclear to what extent it is still marked by significant biases. In a December 2018 survey, 56 percent of American respondents reported that they see media coverage of climate change at least once a month—a 13 percent increase from 2015 (Schwartz, 2019). Coverage of extreme weather increasingly references climate change, though only marginally so and with great variance based on the type of phenomenon (Carbon Omission, 2019). For example, the largest 50 U.S. newspapers by circulation mentioned climate change in 33 percent of articles about record or extreme heat in 2019—up from </w:t>
      </w:r>
      <w:r>
        <w:rPr>
          <w:rFonts w:ascii="Times New Roman" w:eastAsia="Times New Roman" w:hAnsi="Times New Roman" w:cs="Times New Roman"/>
          <w:sz w:val="24"/>
          <w:szCs w:val="24"/>
        </w:rPr>
        <w:lastRenderedPageBreak/>
        <w:t>doing so 28 percent of the time in 2017. Meanwhile, 35 percent of drought coverage included a reference to climate change, while only seven percent of hurricane coverage did so. Both figures represent increases from 2017 levels, despite that year’s particularly intense hurricane season. Curiously, print media was more reluctant than online and broadcast news to link hurricanes and climate change, doing so in just five percent of cases in 2018 (up from three percent in 2017), versus 10 percent and eight percent, respectively. Additionally, only 13 percent of all climate change reporting in 2018 included potential solutions, with particularly low levels in print (eight percent) and broadcast (five percent) media.</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trend worth noting in the evolution of climate change coverage is a growing emphasis on its local impact. The analysis of British newspapers by Carvalho and Burgess cites two specific instances of widespread local, climate-related coverage: severe riverine flooding in 2000 and a 2003 heatwave across Europe (2005). In both cases, media reports established “causal links” between climate change and extreme weather. Moreover, a 2009 study observed a 10-percent increase in local coverage of climate change and a six-percent decrease in non-local coverage between a pair of three-year periods in the early 2000s (Smith &amp; Joffe, 2009, p. 653).</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media may be paying more attention to climate change, but this does not mean that its coverage is suddenly devoid of bias. While it would be easy to conclude, for example, that increased coverage disproves the issue-attention cycle, this dynamic may instead reflect the fact that significant climate-related events like international conferences and reports are increasingly common (Boykoff, 2007). Media experts are still skeptical of rejecting the issue-attention cycle, citing significant drop-offs in coverage of significant climate reports from the IPCC and the Trump administration within days of their respective releases in 2018 (Hentz, 2018)</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Moreover, coverage of global warming through an international lens presents additional problems by insinuating that only a global solution is sufficient and thus disempowering regional and local authorities </w:t>
      </w:r>
      <w:r>
        <w:rPr>
          <w:rFonts w:ascii="Times New Roman" w:eastAsia="Times New Roman" w:hAnsi="Times New Roman" w:cs="Times New Roman"/>
          <w:sz w:val="24"/>
          <w:szCs w:val="24"/>
        </w:rPr>
        <w:lastRenderedPageBreak/>
        <w:t xml:space="preserve">(Carvalho, 2005). Climate change coverage continues to </w:t>
      </w:r>
      <w:proofErr w:type="gramStart"/>
      <w:r>
        <w:rPr>
          <w:rFonts w:ascii="Times New Roman" w:eastAsia="Times New Roman" w:hAnsi="Times New Roman" w:cs="Times New Roman"/>
          <w:sz w:val="24"/>
          <w:szCs w:val="24"/>
        </w:rPr>
        <w:t>be marked</w:t>
      </w:r>
      <w:proofErr w:type="gramEnd"/>
      <w:r>
        <w:rPr>
          <w:rFonts w:ascii="Times New Roman" w:eastAsia="Times New Roman" w:hAnsi="Times New Roman" w:cs="Times New Roman"/>
          <w:sz w:val="24"/>
          <w:szCs w:val="24"/>
        </w:rPr>
        <w:t xml:space="preserve"> by dramatization bias, too. Even in the previously discussed coverage that cited “causal links” between climate change and extreme weather, the issue only garnered media attention after such events proved particularly disruptive—despite an abundance of pre-existing research demonstrating this relationship (Carvalho &amp; Burgess, 2005, p. 1466).</w:t>
      </w:r>
    </w:p>
    <w:p w:rsidR="00C30C8B" w:rsidRDefault="001E516C" w:rsidP="007F459E">
      <w:pPr>
        <w:spacing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 effectively examine</w:t>
      </w:r>
      <w:proofErr w:type="gramEnd"/>
      <w:r>
        <w:rPr>
          <w:rFonts w:ascii="Times New Roman" w:eastAsia="Times New Roman" w:hAnsi="Times New Roman" w:cs="Times New Roman"/>
          <w:sz w:val="24"/>
          <w:szCs w:val="24"/>
        </w:rPr>
        <w:t xml:space="preserve"> the specific case of Hurricane Sandy, it is first necessary to explore how media coverage of climate change affects public awareness and risk perception of the issue and, in turn, influences political responses to it.</w:t>
      </w:r>
    </w:p>
    <w:p w:rsidR="00C30C8B" w:rsidRDefault="001E516C" w:rsidP="007F459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Effects of media coverage on public awareness and political mobilization</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w:t>
      </w:r>
      <w:proofErr w:type="gramStart"/>
      <w:r>
        <w:rPr>
          <w:rFonts w:ascii="Times New Roman" w:eastAsia="Times New Roman" w:hAnsi="Times New Roman" w:cs="Times New Roman"/>
          <w:sz w:val="24"/>
          <w:szCs w:val="24"/>
        </w:rPr>
        <w:t>well-established</w:t>
      </w:r>
      <w:proofErr w:type="gramEnd"/>
      <w:r>
        <w:rPr>
          <w:rFonts w:ascii="Times New Roman" w:eastAsia="Times New Roman" w:hAnsi="Times New Roman" w:cs="Times New Roman"/>
          <w:sz w:val="24"/>
          <w:szCs w:val="24"/>
        </w:rPr>
        <w:t xml:space="preserve"> that the public depends on the media for much of its general scientific knowledge (Boykoff &amp; Boykoff, 2007; Nisbet et al., 2002). Even for specific environmental issues, the media plays a crucial role in identifying and interpreting such problems (Boykoff &amp; Boykoff, 2007). This relationship appears to hold for climate change, with empirical evidence pointing to a correlation between coverage and public knowledge of the issue. When British print media coverage of climate change dropped off in the early 1990s, the public demonstrated less certainty about its existence and effects (Carvalho &amp; Burgess, 2005). Research also indicates a similar correlation between the quantity of climate change coverage and public concern for climate change (Sampei &amp; Aoyagi-Usui, 2014; Brulle et al., 2012).</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they dictate the frequency and framing of stories, first-order norms like personalization, dramatization, and novelty bias have a clear impact on public awareness—as demonstrated through the British print media. Second-order norms like authority-order and balance bias, meanwhile, are more likely to </w:t>
      </w:r>
      <w:proofErr w:type="gramStart"/>
      <w:r>
        <w:rPr>
          <w:rFonts w:ascii="Times New Roman" w:eastAsia="Times New Roman" w:hAnsi="Times New Roman" w:cs="Times New Roman"/>
          <w:sz w:val="24"/>
          <w:szCs w:val="24"/>
        </w:rPr>
        <w:t>impact</w:t>
      </w:r>
      <w:proofErr w:type="gramEnd"/>
      <w:r>
        <w:rPr>
          <w:rFonts w:ascii="Times New Roman" w:eastAsia="Times New Roman" w:hAnsi="Times New Roman" w:cs="Times New Roman"/>
          <w:sz w:val="24"/>
          <w:szCs w:val="24"/>
        </w:rPr>
        <w:t xml:space="preserve"> public </w:t>
      </w:r>
      <w:r>
        <w:rPr>
          <w:rFonts w:ascii="Times New Roman" w:eastAsia="Times New Roman" w:hAnsi="Times New Roman" w:cs="Times New Roman"/>
          <w:i/>
          <w:sz w:val="24"/>
          <w:szCs w:val="24"/>
        </w:rPr>
        <w:t>opinion</w:t>
      </w:r>
      <w:r>
        <w:rPr>
          <w:rFonts w:ascii="Times New Roman" w:eastAsia="Times New Roman" w:hAnsi="Times New Roman" w:cs="Times New Roman"/>
          <w:sz w:val="24"/>
          <w:szCs w:val="24"/>
        </w:rPr>
        <w:t xml:space="preserve"> regarding climate change because they frame the cultural debate for media consumers. Just as people are more likely to trust and obey authority figures, most famously demonstrated in the Milgram experiment, research indicates that the public looks </w:t>
      </w:r>
      <w:r>
        <w:rPr>
          <w:rFonts w:ascii="Times New Roman" w:eastAsia="Times New Roman" w:hAnsi="Times New Roman" w:cs="Times New Roman"/>
          <w:sz w:val="24"/>
          <w:szCs w:val="24"/>
        </w:rPr>
        <w:lastRenderedPageBreak/>
        <w:t>to political elites for ideological cues in forming their beliefs (Brulle et al., 2012). Authority-order bias thus elevates public officials’ often-uninformed opinions on climate change. This has particularly dangerous consequences when combined with balance bias: Elite disagreement begets political polarization and increased exposure to skeptical views of global warming likely raises public skepticism, especially among people with “limited cognitive skills” (Krosnick et al., 2006, p. 33).</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correlation, it is difficult to isolate any causal effect of media coverage of extreme weather on public opinion from the effect of extreme weather, itself. In a 1992 study of popular mobilization, Ungar points to past “social scares” like nuclear winter and ozone depletion as having driven social change and identifies the impacts of anthropogenic climate change as “good candidates” to do the same (p. 497). Extreme weather events, in particular, are likely to present social scares. For example, </w:t>
      </w:r>
      <w:r>
        <w:rPr>
          <w:rFonts w:ascii="Times New Roman" w:eastAsia="Times New Roman" w:hAnsi="Times New Roman" w:cs="Times New Roman"/>
          <w:i/>
          <w:sz w:val="24"/>
          <w:szCs w:val="24"/>
        </w:rPr>
        <w:t>Washington Post</w:t>
      </w:r>
      <w:r>
        <w:rPr>
          <w:rFonts w:ascii="Times New Roman" w:eastAsia="Times New Roman" w:hAnsi="Times New Roman" w:cs="Times New Roman"/>
          <w:sz w:val="24"/>
          <w:szCs w:val="24"/>
        </w:rPr>
        <w:t xml:space="preserve"> reporter Juliet Eilperin concluded in 2005 that “[Hurricane] Katrina's destructiveness has given a sharp new edge to the ongoing debate over whether the United States should do more to curb greenhouse gas emissions linked to global warming” (Eilperin, 2005). It is especially difficult to distinguish between the impacts of extreme weather and of climate change reporting because the latter often directly follows the former due to personalization and dramatization bias. Without any temporal differences, the two factors are effectively impossible to isolate as independent variables.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reality public perception of climate change is likely tied to a number of factors—not all of them rational. Krosnick et al. conclude that ideological beliefs about global warming are a function of both media content and personal experiences with weather conditions (2006). However, it is important to note that their research finds that the public typically relies on these sources to confirm, not shape, their beliefs. In evaluating the existence of global warming, people largely look to its perceived effects on sea level rise, food shortages, and species extinction rather </w:t>
      </w:r>
      <w:r>
        <w:rPr>
          <w:rFonts w:ascii="Times New Roman" w:eastAsia="Times New Roman" w:hAnsi="Times New Roman" w:cs="Times New Roman"/>
          <w:sz w:val="24"/>
          <w:szCs w:val="24"/>
        </w:rPr>
        <w:lastRenderedPageBreak/>
        <w:t xml:space="preserve">than extreme weather. Nonetheless, research has demonstrated that political mobilization often results from </w:t>
      </w:r>
      <w:proofErr w:type="gramStart"/>
      <w:r>
        <w:rPr>
          <w:rFonts w:ascii="Times New Roman" w:eastAsia="Times New Roman" w:hAnsi="Times New Roman" w:cs="Times New Roman"/>
          <w:sz w:val="24"/>
          <w:szCs w:val="24"/>
        </w:rPr>
        <w:t>high risk</w:t>
      </w:r>
      <w:proofErr w:type="gramEnd"/>
      <w:r>
        <w:rPr>
          <w:rFonts w:ascii="Times New Roman" w:eastAsia="Times New Roman" w:hAnsi="Times New Roman" w:cs="Times New Roman"/>
          <w:sz w:val="24"/>
          <w:szCs w:val="24"/>
        </w:rPr>
        <w:t xml:space="preserve"> perception among the public, including in cases of ecological threats (Kraft, 1991). As such, journalists play an indirect, yet powerful, role in producing social change.</w:t>
      </w:r>
    </w:p>
    <w:p w:rsidR="00C30C8B" w:rsidRDefault="001E516C">
      <w:pPr>
        <w:numPr>
          <w:ilvl w:val="0"/>
          <w:numId w:val="1"/>
        </w:numPr>
        <w:spacing w:line="48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Data</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Given that Americans pay attention to local news almost as much as they do to national news and that public attitudes seem to be most malleable to issues that are framed locally (and thus, personally), it seems relevant to consider how local media reports on climate change in order to gauge the potential for social mobilization (Mitchell et al., 2018). This potential seems even greater when considering that Americans display significantly higher levels of trust in local journalism than they do in national journalism and that Americans rely heavily on local media for weather coverage—where they are likely to encounter the effects of climate change (Lakshmanan, 2018; For Local News, 2019). While a recent Pew Research Center survey reveals that people consume local broadcast news more than any other local media source, this analysis will focus solely on local print media due to the accessibility of analyzing newspaper articles, compared to television broadcasts (For Local News, 2019).</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Hurricane Sandy, which caused billions of dollars in damages to the New York metropolitan area in October 2012, provides a case study for how print media covers climate change.</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Methodology</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analysis considers articles from three of the New York metropolitan area’s largest newspapers by circulation: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 xml:space="preserve"> (2012 non-Sunday print circulation: </w:t>
      </w:r>
      <w:r>
        <w:rPr>
          <w:rFonts w:ascii="Times New Roman" w:eastAsia="Times New Roman" w:hAnsi="Times New Roman" w:cs="Times New Roman"/>
          <w:color w:val="292B2C"/>
          <w:sz w:val="24"/>
          <w:szCs w:val="24"/>
          <w:highlight w:val="white"/>
        </w:rPr>
        <w:t>717,513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New York Daily News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92B2C"/>
          <w:sz w:val="24"/>
          <w:szCs w:val="24"/>
          <w:highlight w:val="white"/>
        </w:rPr>
        <w:t>383,835</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The New York Post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A2A2A"/>
          <w:sz w:val="24"/>
          <w:szCs w:val="24"/>
          <w:highlight w:val="white"/>
        </w:rPr>
        <w:t>344,755</w:t>
      </w:r>
      <w:r>
        <w:rPr>
          <w:rFonts w:ascii="Times New Roman" w:eastAsia="Times New Roman" w:hAnsi="Times New Roman" w:cs="Times New Roman"/>
          <w:sz w:val="24"/>
          <w:szCs w:val="24"/>
        </w:rPr>
        <w:t xml:space="preserve">) (Moos, 2012; Greco, 2014, p. 98-9). Since all three newspapers have a significant online readership that transcends the New York metro area, print circulation figures </w:t>
      </w:r>
      <w:proofErr w:type="gramStart"/>
      <w:r>
        <w:rPr>
          <w:rFonts w:ascii="Times New Roman" w:eastAsia="Times New Roman" w:hAnsi="Times New Roman" w:cs="Times New Roman"/>
          <w:sz w:val="24"/>
          <w:szCs w:val="24"/>
        </w:rPr>
        <w:t>are used</w:t>
      </w:r>
      <w:proofErr w:type="gramEnd"/>
      <w:r>
        <w:rPr>
          <w:rFonts w:ascii="Times New Roman" w:eastAsia="Times New Roman" w:hAnsi="Times New Roman" w:cs="Times New Roman"/>
          <w:sz w:val="24"/>
          <w:szCs w:val="24"/>
        </w:rPr>
        <w:t xml:space="preserve"> to approximate their regional prominence. </w:t>
      </w:r>
      <w:r>
        <w:rPr>
          <w:rFonts w:ascii="Times New Roman" w:eastAsia="Times New Roman" w:hAnsi="Times New Roman" w:cs="Times New Roman"/>
          <w:sz w:val="24"/>
          <w:szCs w:val="24"/>
        </w:rPr>
        <w:lastRenderedPageBreak/>
        <w:t xml:space="preserve">LexisNexis’ Nexis Uni database </w:t>
      </w:r>
      <w:proofErr w:type="gramStart"/>
      <w:r>
        <w:rPr>
          <w:rFonts w:ascii="Times New Roman" w:eastAsia="Times New Roman" w:hAnsi="Times New Roman" w:cs="Times New Roman"/>
          <w:sz w:val="24"/>
          <w:szCs w:val="24"/>
        </w:rPr>
        <w:t>was used</w:t>
      </w:r>
      <w:proofErr w:type="gramEnd"/>
      <w:r>
        <w:rPr>
          <w:rFonts w:ascii="Times New Roman" w:eastAsia="Times New Roman" w:hAnsi="Times New Roman" w:cs="Times New Roman"/>
          <w:sz w:val="24"/>
          <w:szCs w:val="24"/>
        </w:rPr>
        <w:t xml:space="preserve"> to identify articles mentioning </w:t>
      </w:r>
      <w:r>
        <w:rPr>
          <w:rFonts w:ascii="Times New Roman" w:eastAsia="Times New Roman" w:hAnsi="Times New Roman" w:cs="Times New Roman"/>
          <w:i/>
          <w:sz w:val="24"/>
          <w:szCs w:val="24"/>
        </w:rPr>
        <w:t>Hurricane Sandy</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as well as articles mentioning both </w:t>
      </w:r>
      <w:r>
        <w:rPr>
          <w:rFonts w:ascii="Times New Roman" w:eastAsia="Times New Roman" w:hAnsi="Times New Roman" w:cs="Times New Roman"/>
          <w:i/>
          <w:sz w:val="24"/>
          <w:szCs w:val="24"/>
        </w:rPr>
        <w:t>Hurricane Sandy</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climate change</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Despite having a larger circulation </w:t>
      </w:r>
      <w:proofErr w:type="gramStart"/>
      <w:r>
        <w:rPr>
          <w:rFonts w:ascii="Times New Roman" w:eastAsia="Times New Roman" w:hAnsi="Times New Roman" w:cs="Times New Roman"/>
          <w:sz w:val="24"/>
          <w:szCs w:val="24"/>
        </w:rPr>
        <w:t xml:space="preserve">than any of the aforementioned newspapers, </w:t>
      </w:r>
      <w:r>
        <w:rPr>
          <w:rFonts w:ascii="Times New Roman" w:eastAsia="Times New Roman" w:hAnsi="Times New Roman" w:cs="Times New Roman"/>
          <w:i/>
          <w:sz w:val="24"/>
          <w:szCs w:val="24"/>
        </w:rPr>
        <w:t>The Wall Street Journal</w:t>
      </w:r>
      <w:proofErr w:type="gramEnd"/>
      <w:r>
        <w:rPr>
          <w:rFonts w:ascii="Times New Roman" w:eastAsia="Times New Roman" w:hAnsi="Times New Roman" w:cs="Times New Roman"/>
          <w:sz w:val="24"/>
          <w:szCs w:val="24"/>
        </w:rPr>
        <w:t xml:space="preserve"> (2012 non-Sunday print circulation: 1,499,204) does not make the full text of its articles available through Nexis Uni and is thus excluded from this analysis (Greco, 2014, p. 98-9).</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Articles are grouped into three arbitrary </w:t>
      </w:r>
      <w:proofErr w:type="gramStart"/>
      <w:r>
        <w:rPr>
          <w:rFonts w:ascii="Times New Roman" w:eastAsia="Times New Roman" w:hAnsi="Times New Roman" w:cs="Times New Roman"/>
          <w:sz w:val="24"/>
          <w:szCs w:val="24"/>
        </w:rPr>
        <w:t>time periods</w:t>
      </w:r>
      <w:proofErr w:type="gramEnd"/>
      <w:r>
        <w:rPr>
          <w:rFonts w:ascii="Times New Roman" w:eastAsia="Times New Roman" w:hAnsi="Times New Roman" w:cs="Times New Roman"/>
          <w:sz w:val="24"/>
          <w:szCs w:val="24"/>
        </w:rPr>
        <w:t xml:space="preserve"> that serve to present temporal trends in media coverage. The first or ‘immediate’ period comprises articles published between the storm’s formation on October 22, 2012 and one week after it made landfall in the New York metropolitan area, November 5, 2012. The second or ‘intermediate’ period includes articles published between November 6 and November 22, 2012—one month after the storm’s formation. The third or ‘long-term’ period comprises all articles published between November 23, 2012 and April 30, 2019.</w:t>
      </w:r>
    </w:p>
    <w:p w:rsidR="00C30C8B" w:rsidRDefault="001E516C">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Results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Across all three intervals,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 xml:space="preserve"> leads the trio of publications in both the quantity and share of Hurricane Sandy coverage that discussed climate change. In the immediate period, 6.1 percent of </w:t>
      </w:r>
      <w:r>
        <w:rPr>
          <w:rFonts w:ascii="Times New Roman" w:eastAsia="Times New Roman" w:hAnsi="Times New Roman" w:cs="Times New Roman"/>
          <w:i/>
          <w:sz w:val="24"/>
          <w:szCs w:val="24"/>
        </w:rPr>
        <w:t>Times</w:t>
      </w:r>
      <w:r>
        <w:rPr>
          <w:rFonts w:ascii="Times New Roman" w:eastAsia="Times New Roman" w:hAnsi="Times New Roman" w:cs="Times New Roman"/>
          <w:sz w:val="24"/>
          <w:szCs w:val="24"/>
        </w:rPr>
        <w:t xml:space="preserve"> articles about Hurricane Sandy mention climate change, compared to 4.1 percent and 1.4 percent of </w:t>
      </w:r>
      <w:r>
        <w:rPr>
          <w:rFonts w:ascii="Times New Roman" w:eastAsia="Times New Roman" w:hAnsi="Times New Roman" w:cs="Times New Roman"/>
          <w:i/>
          <w:sz w:val="24"/>
          <w:szCs w:val="24"/>
        </w:rPr>
        <w:t>Daily News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Post</w:t>
      </w:r>
      <w:r>
        <w:rPr>
          <w:rFonts w:ascii="Times New Roman" w:eastAsia="Times New Roman" w:hAnsi="Times New Roman" w:cs="Times New Roman"/>
          <w:sz w:val="24"/>
          <w:szCs w:val="24"/>
        </w:rPr>
        <w:t xml:space="preserve"> articles, respectively. For the intermediate period, 5.6 percent of the </w:t>
      </w:r>
      <w:r>
        <w:rPr>
          <w:rFonts w:ascii="Times New Roman" w:eastAsia="Times New Roman" w:hAnsi="Times New Roman" w:cs="Times New Roman"/>
          <w:i/>
          <w:sz w:val="24"/>
          <w:szCs w:val="24"/>
        </w:rPr>
        <w:t>Times</w:t>
      </w:r>
      <w:r>
        <w:rPr>
          <w:rFonts w:ascii="Times New Roman" w:eastAsia="Times New Roman" w:hAnsi="Times New Roman" w:cs="Times New Roman"/>
          <w:sz w:val="24"/>
          <w:szCs w:val="24"/>
        </w:rPr>
        <w:t xml:space="preserve">’ Hurricane Sandy coverage discusses climate change, versus 1.7 and 3.4 percent of </w:t>
      </w:r>
      <w:r>
        <w:rPr>
          <w:rFonts w:ascii="Times New Roman" w:eastAsia="Times New Roman" w:hAnsi="Times New Roman" w:cs="Times New Roman"/>
          <w:i/>
          <w:sz w:val="24"/>
          <w:szCs w:val="24"/>
        </w:rPr>
        <w:t>Daily News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Post</w:t>
      </w:r>
      <w:r>
        <w:rPr>
          <w:rFonts w:ascii="Times New Roman" w:eastAsia="Times New Roman" w:hAnsi="Times New Roman" w:cs="Times New Roman"/>
          <w:sz w:val="24"/>
          <w:szCs w:val="24"/>
        </w:rPr>
        <w:t xml:space="preserve"> coverage, respectively. In the long-term period, 10.4 percent of </w:t>
      </w:r>
      <w:r>
        <w:rPr>
          <w:rFonts w:ascii="Times New Roman" w:eastAsia="Times New Roman" w:hAnsi="Times New Roman" w:cs="Times New Roman"/>
          <w:i/>
          <w:sz w:val="24"/>
          <w:szCs w:val="24"/>
        </w:rPr>
        <w:t>Times</w:t>
      </w:r>
      <w:r>
        <w:rPr>
          <w:rFonts w:ascii="Times New Roman" w:eastAsia="Times New Roman" w:hAnsi="Times New Roman" w:cs="Times New Roman"/>
          <w:sz w:val="24"/>
          <w:szCs w:val="24"/>
        </w:rPr>
        <w:t xml:space="preserve"> articles about Hurricane Sandy also bring up climate change, versus 2.2 percent and 1.0 percent of </w:t>
      </w:r>
      <w:r>
        <w:rPr>
          <w:rFonts w:ascii="Times New Roman" w:eastAsia="Times New Roman" w:hAnsi="Times New Roman" w:cs="Times New Roman"/>
          <w:i/>
          <w:sz w:val="24"/>
          <w:szCs w:val="24"/>
        </w:rPr>
        <w:t>Daily News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Post </w:t>
      </w:r>
      <w:r>
        <w:rPr>
          <w:rFonts w:ascii="Times New Roman" w:eastAsia="Times New Roman" w:hAnsi="Times New Roman" w:cs="Times New Roman"/>
          <w:sz w:val="24"/>
          <w:szCs w:val="24"/>
        </w:rPr>
        <w:t>articles, respectively. (</w:t>
      </w:r>
      <w:proofErr w:type="gramStart"/>
      <w:r>
        <w:rPr>
          <w:rFonts w:ascii="Times New Roman" w:eastAsia="Times New Roman" w:hAnsi="Times New Roman" w:cs="Times New Roman"/>
          <w:sz w:val="24"/>
          <w:szCs w:val="24"/>
        </w:rPr>
        <w:t>see</w:t>
      </w:r>
      <w:proofErr w:type="gramEnd"/>
      <w:r>
        <w:rPr>
          <w:rFonts w:ascii="Times New Roman" w:eastAsia="Times New Roman" w:hAnsi="Times New Roman" w:cs="Times New Roman"/>
          <w:sz w:val="24"/>
          <w:szCs w:val="24"/>
        </w:rPr>
        <w:t xml:space="preserve"> Figure 1)</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aggregate data reveals that during the first interval, climate change </w:t>
      </w:r>
      <w:proofErr w:type="gramStart"/>
      <w:r>
        <w:rPr>
          <w:rFonts w:ascii="Times New Roman" w:eastAsia="Times New Roman" w:hAnsi="Times New Roman" w:cs="Times New Roman"/>
          <w:sz w:val="24"/>
          <w:szCs w:val="24"/>
        </w:rPr>
        <w:t>is mentioned</w:t>
      </w:r>
      <w:proofErr w:type="gramEnd"/>
      <w:r>
        <w:rPr>
          <w:rFonts w:ascii="Times New Roman" w:eastAsia="Times New Roman" w:hAnsi="Times New Roman" w:cs="Times New Roman"/>
          <w:sz w:val="24"/>
          <w:szCs w:val="24"/>
        </w:rPr>
        <w:t xml:space="preserve"> in 4.2 percent of articles about Hurricane Sandy. Meanwhile, in the ‘intermediate’ period, 4.0 percent of relevant articles refer to climate change in some way. Finally, 6.1 percent of ‘long-term’ Hurricane Sandy coverage mention climate change. This data indicates a slight dip in Hurricane Sandy coverage referring to climate change before that portion rose again. When aggregated, 5.8 percent of all articles reference climate change in some way (see Figure 2).</w:t>
      </w:r>
    </w:p>
    <w:p w:rsidR="00C30C8B" w:rsidRDefault="001E516C">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1: Stratified coverage</w:t>
      </w:r>
    </w:p>
    <w:tbl>
      <w:tblPr>
        <w:tblStyle w:val="a"/>
        <w:tblW w:w="7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3"/>
        <w:gridCol w:w="1710"/>
        <w:gridCol w:w="2340"/>
        <w:gridCol w:w="1710"/>
      </w:tblGrid>
      <w:tr w:rsidR="00C30C8B" w:rsidTr="00C30C8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23" w:type="dxa"/>
            <w:tcBorders>
              <w:bottom w:val="nil"/>
            </w:tcBorders>
          </w:tcPr>
          <w:p w:rsidR="00C30C8B" w:rsidRDefault="00C30C8B">
            <w:pPr>
              <w:spacing w:line="480" w:lineRule="auto"/>
              <w:jc w:val="both"/>
              <w:rPr>
                <w:rFonts w:ascii="Times New Roman" w:eastAsia="Times New Roman" w:hAnsi="Times New Roman" w:cs="Times New Roman"/>
                <w:sz w:val="24"/>
                <w:szCs w:val="24"/>
              </w:rPr>
            </w:pPr>
          </w:p>
        </w:tc>
        <w:tc>
          <w:tcPr>
            <w:tcW w:w="1710" w:type="dxa"/>
            <w:tcBorders>
              <w:bottom w:val="nil"/>
            </w:tcBorders>
          </w:tcPr>
          <w:p w:rsidR="00C30C8B" w:rsidRDefault="001E516C">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NY TIMES</w:t>
            </w:r>
          </w:p>
        </w:tc>
        <w:tc>
          <w:tcPr>
            <w:tcW w:w="2340" w:type="dxa"/>
            <w:tcBorders>
              <w:bottom w:val="nil"/>
            </w:tcBorders>
          </w:tcPr>
          <w:p w:rsidR="00C30C8B" w:rsidRDefault="001E516C">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NY dAILY NEWS</w:t>
            </w:r>
          </w:p>
        </w:tc>
        <w:tc>
          <w:tcPr>
            <w:tcW w:w="1710" w:type="dxa"/>
            <w:tcBorders>
              <w:bottom w:val="nil"/>
            </w:tcBorders>
          </w:tcPr>
          <w:p w:rsidR="00C30C8B" w:rsidRDefault="001E516C">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NY POST</w:t>
            </w:r>
          </w:p>
        </w:tc>
      </w:tr>
      <w:tr w:rsidR="00C30C8B" w:rsidTr="00C30C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3" w:type="dxa"/>
            <w:tcBorders>
              <w:right w:val="nil"/>
            </w:tcBorders>
          </w:tcPr>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w:t>
            </w:r>
          </w:p>
        </w:tc>
        <w:tc>
          <w:tcPr>
            <w:tcW w:w="1710"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 / 310</w:t>
            </w:r>
          </w:p>
        </w:tc>
        <w:tc>
          <w:tcPr>
            <w:tcW w:w="2340"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 / 123</w:t>
            </w:r>
          </w:p>
        </w:tc>
        <w:tc>
          <w:tcPr>
            <w:tcW w:w="1710"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 / 209</w:t>
            </w:r>
          </w:p>
        </w:tc>
      </w:tr>
      <w:tr w:rsidR="00C30C8B" w:rsidTr="00C30C8B">
        <w:trPr>
          <w:jc w:val="center"/>
        </w:trPr>
        <w:tc>
          <w:tcPr>
            <w:cnfStyle w:val="001000000000" w:firstRow="0" w:lastRow="0" w:firstColumn="1" w:lastColumn="0" w:oddVBand="0" w:evenVBand="0" w:oddHBand="0" w:evenHBand="0" w:firstRowFirstColumn="0" w:firstRowLastColumn="0" w:lastRowFirstColumn="0" w:lastRowLastColumn="0"/>
            <w:tcW w:w="212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1710"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6.1%</w:t>
            </w:r>
          </w:p>
        </w:tc>
        <w:tc>
          <w:tcPr>
            <w:tcW w:w="2340"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4.1%</w:t>
            </w:r>
          </w:p>
        </w:tc>
        <w:tc>
          <w:tcPr>
            <w:tcW w:w="1710"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1.4%</w:t>
            </w:r>
          </w:p>
        </w:tc>
      </w:tr>
      <w:tr w:rsidR="00C30C8B" w:rsidTr="00C30C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1710" w:type="dxa"/>
          </w:tcPr>
          <w:p w:rsidR="00C30C8B" w:rsidRDefault="00C30C8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rsidR="00C30C8B" w:rsidRDefault="00C30C8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710" w:type="dxa"/>
          </w:tcPr>
          <w:p w:rsidR="00C30C8B" w:rsidRDefault="00C30C8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C30C8B" w:rsidTr="00C30C8B">
        <w:trPr>
          <w:jc w:val="center"/>
        </w:trPr>
        <w:tc>
          <w:tcPr>
            <w:cnfStyle w:val="001000000000" w:firstRow="0" w:lastRow="0" w:firstColumn="1" w:lastColumn="0" w:oddVBand="0" w:evenVBand="0" w:oddHBand="0" w:evenHBand="0" w:firstRowFirstColumn="0" w:firstRowLastColumn="0" w:lastRowFirstColumn="0" w:lastRowLastColumn="0"/>
            <w:tcW w:w="2123" w:type="dxa"/>
            <w:tcBorders>
              <w:right w:val="nil"/>
            </w:tcBorders>
          </w:tcPr>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Intermediate</w:t>
            </w:r>
          </w:p>
        </w:tc>
        <w:tc>
          <w:tcPr>
            <w:tcW w:w="1710"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24 / 428</w:t>
            </w:r>
          </w:p>
        </w:tc>
        <w:tc>
          <w:tcPr>
            <w:tcW w:w="2340"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 / 234</w:t>
            </w:r>
          </w:p>
        </w:tc>
        <w:tc>
          <w:tcPr>
            <w:tcW w:w="1710"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 / 261</w:t>
            </w:r>
          </w:p>
        </w:tc>
      </w:tr>
      <w:tr w:rsidR="00C30C8B" w:rsidTr="00C30C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1710"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5.6%</w:t>
            </w:r>
          </w:p>
        </w:tc>
        <w:tc>
          <w:tcPr>
            <w:tcW w:w="2340"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1.7%</w:t>
            </w:r>
          </w:p>
        </w:tc>
        <w:tc>
          <w:tcPr>
            <w:tcW w:w="1710"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3.4%</w:t>
            </w:r>
          </w:p>
        </w:tc>
      </w:tr>
      <w:tr w:rsidR="00C30C8B" w:rsidTr="00C30C8B">
        <w:trPr>
          <w:jc w:val="center"/>
        </w:trPr>
        <w:tc>
          <w:tcPr>
            <w:cnfStyle w:val="001000000000" w:firstRow="0" w:lastRow="0" w:firstColumn="1" w:lastColumn="0" w:oddVBand="0" w:evenVBand="0" w:oddHBand="0" w:evenHBand="0" w:firstRowFirstColumn="0" w:firstRowLastColumn="0" w:lastRowFirstColumn="0" w:lastRowLastColumn="0"/>
            <w:tcW w:w="212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1710" w:type="dxa"/>
          </w:tcPr>
          <w:p w:rsidR="00C30C8B" w:rsidRDefault="00C30C8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rsidR="00C30C8B" w:rsidRDefault="00C30C8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710" w:type="dxa"/>
          </w:tcPr>
          <w:p w:rsidR="00C30C8B" w:rsidRDefault="00C30C8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C30C8B" w:rsidTr="00C30C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3" w:type="dxa"/>
            <w:tcBorders>
              <w:right w:val="nil"/>
            </w:tcBorders>
          </w:tcPr>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Long term</w:t>
            </w:r>
          </w:p>
        </w:tc>
        <w:tc>
          <w:tcPr>
            <w:tcW w:w="1710"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362 / 3470</w:t>
            </w:r>
          </w:p>
        </w:tc>
        <w:tc>
          <w:tcPr>
            <w:tcW w:w="2340"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 / 2140</w:t>
            </w:r>
          </w:p>
        </w:tc>
        <w:tc>
          <w:tcPr>
            <w:tcW w:w="1710"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13 / 1248</w:t>
            </w:r>
          </w:p>
        </w:tc>
      </w:tr>
      <w:tr w:rsidR="00C30C8B" w:rsidTr="00C30C8B">
        <w:trPr>
          <w:jc w:val="center"/>
        </w:trPr>
        <w:tc>
          <w:tcPr>
            <w:cnfStyle w:val="001000000000" w:firstRow="0" w:lastRow="0" w:firstColumn="1" w:lastColumn="0" w:oddVBand="0" w:evenVBand="0" w:oddHBand="0" w:evenHBand="0" w:firstRowFirstColumn="0" w:firstRowLastColumn="0" w:lastRowFirstColumn="0" w:lastRowLastColumn="0"/>
            <w:tcW w:w="212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1710"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10.4%</w:t>
            </w:r>
          </w:p>
        </w:tc>
        <w:tc>
          <w:tcPr>
            <w:tcW w:w="2340"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2.2%</w:t>
            </w:r>
          </w:p>
        </w:tc>
        <w:tc>
          <w:tcPr>
            <w:tcW w:w="1710"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1.0%</w:t>
            </w:r>
          </w:p>
        </w:tc>
      </w:tr>
    </w:tbl>
    <w:p w:rsidR="00C30C8B" w:rsidRDefault="00C30C8B">
      <w:pPr>
        <w:spacing w:line="480" w:lineRule="auto"/>
        <w:jc w:val="both"/>
        <w:rPr>
          <w:rFonts w:ascii="Times New Roman" w:eastAsia="Times New Roman" w:hAnsi="Times New Roman" w:cs="Times New Roman"/>
          <w:sz w:val="24"/>
          <w:szCs w:val="24"/>
        </w:rPr>
      </w:pPr>
    </w:p>
    <w:p w:rsidR="001E516C" w:rsidRDefault="001E516C">
      <w:pPr>
        <w:spacing w:line="480" w:lineRule="auto"/>
        <w:jc w:val="both"/>
        <w:rPr>
          <w:rFonts w:ascii="Times New Roman" w:eastAsia="Times New Roman" w:hAnsi="Times New Roman" w:cs="Times New Roman"/>
          <w:i/>
          <w:sz w:val="24"/>
          <w:szCs w:val="24"/>
        </w:rPr>
      </w:pPr>
    </w:p>
    <w:p w:rsidR="001E516C" w:rsidRDefault="001E516C">
      <w:pPr>
        <w:spacing w:line="480" w:lineRule="auto"/>
        <w:jc w:val="both"/>
        <w:rPr>
          <w:rFonts w:ascii="Times New Roman" w:eastAsia="Times New Roman" w:hAnsi="Times New Roman" w:cs="Times New Roman"/>
          <w:i/>
          <w:sz w:val="24"/>
          <w:szCs w:val="24"/>
        </w:rPr>
      </w:pPr>
    </w:p>
    <w:p w:rsidR="001E516C" w:rsidRDefault="001E516C">
      <w:pPr>
        <w:spacing w:line="480" w:lineRule="auto"/>
        <w:jc w:val="both"/>
        <w:rPr>
          <w:rFonts w:ascii="Times New Roman" w:eastAsia="Times New Roman" w:hAnsi="Times New Roman" w:cs="Times New Roman"/>
          <w:i/>
          <w:sz w:val="24"/>
          <w:szCs w:val="24"/>
        </w:rPr>
      </w:pPr>
    </w:p>
    <w:p w:rsidR="001E516C" w:rsidRDefault="001E516C">
      <w:pPr>
        <w:spacing w:line="480" w:lineRule="auto"/>
        <w:jc w:val="both"/>
        <w:rPr>
          <w:rFonts w:ascii="Times New Roman" w:eastAsia="Times New Roman" w:hAnsi="Times New Roman" w:cs="Times New Roman"/>
          <w:i/>
          <w:sz w:val="24"/>
          <w:szCs w:val="24"/>
        </w:rPr>
      </w:pPr>
    </w:p>
    <w:p w:rsidR="001E516C" w:rsidRDefault="001E516C">
      <w:pPr>
        <w:spacing w:line="480" w:lineRule="auto"/>
        <w:jc w:val="both"/>
        <w:rPr>
          <w:rFonts w:ascii="Times New Roman" w:eastAsia="Times New Roman" w:hAnsi="Times New Roman" w:cs="Times New Roman"/>
          <w:i/>
          <w:sz w:val="24"/>
          <w:szCs w:val="24"/>
        </w:rPr>
      </w:pPr>
    </w:p>
    <w:p w:rsidR="001E516C" w:rsidRDefault="001E516C">
      <w:pPr>
        <w:spacing w:line="480" w:lineRule="auto"/>
        <w:jc w:val="both"/>
        <w:rPr>
          <w:rFonts w:ascii="Times New Roman" w:eastAsia="Times New Roman" w:hAnsi="Times New Roman" w:cs="Times New Roman"/>
          <w:i/>
          <w:sz w:val="24"/>
          <w:szCs w:val="24"/>
        </w:rPr>
      </w:pPr>
    </w:p>
    <w:p w:rsidR="001E516C" w:rsidRDefault="001E516C">
      <w:pPr>
        <w:spacing w:line="480" w:lineRule="auto"/>
        <w:jc w:val="both"/>
        <w:rPr>
          <w:rFonts w:ascii="Times New Roman" w:eastAsia="Times New Roman" w:hAnsi="Times New Roman" w:cs="Times New Roman"/>
          <w:i/>
          <w:sz w:val="24"/>
          <w:szCs w:val="24"/>
        </w:rPr>
      </w:pPr>
    </w:p>
    <w:p w:rsidR="00C30C8B" w:rsidRDefault="001E516C">
      <w:pPr>
        <w:spacing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Figure 2: Aggregate coverage</w:t>
      </w:r>
    </w:p>
    <w:tbl>
      <w:tblPr>
        <w:tblStyle w:val="a0"/>
        <w:tblW w:w="45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3"/>
        <w:gridCol w:w="2337"/>
      </w:tblGrid>
      <w:tr w:rsidR="00C30C8B" w:rsidTr="00C30C8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43" w:type="dxa"/>
            <w:tcBorders>
              <w:bottom w:val="nil"/>
            </w:tcBorders>
          </w:tcPr>
          <w:p w:rsidR="00C30C8B" w:rsidRDefault="00C30C8B">
            <w:pPr>
              <w:spacing w:line="480" w:lineRule="auto"/>
              <w:jc w:val="both"/>
              <w:rPr>
                <w:rFonts w:ascii="Times New Roman" w:eastAsia="Times New Roman" w:hAnsi="Times New Roman" w:cs="Times New Roman"/>
                <w:sz w:val="24"/>
                <w:szCs w:val="24"/>
              </w:rPr>
            </w:pPr>
          </w:p>
        </w:tc>
        <w:tc>
          <w:tcPr>
            <w:tcW w:w="2337" w:type="dxa"/>
            <w:tcBorders>
              <w:bottom w:val="nil"/>
            </w:tcBorders>
          </w:tcPr>
          <w:p w:rsidR="00C30C8B" w:rsidRDefault="001E516C">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ALL ARTICLES</w:t>
            </w:r>
          </w:p>
        </w:tc>
      </w:tr>
      <w:tr w:rsidR="00C30C8B" w:rsidTr="00C30C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tcBorders>
              <w:right w:val="nil"/>
            </w:tcBorders>
          </w:tcPr>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w:t>
            </w:r>
          </w:p>
        </w:tc>
        <w:tc>
          <w:tcPr>
            <w:tcW w:w="2337"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27 / 642</w:t>
            </w:r>
          </w:p>
        </w:tc>
      </w:tr>
      <w:tr w:rsidR="00C30C8B" w:rsidTr="00C30C8B">
        <w:trPr>
          <w:jc w:val="center"/>
        </w:trPr>
        <w:tc>
          <w:tcPr>
            <w:cnfStyle w:val="001000000000" w:firstRow="0" w:lastRow="0" w:firstColumn="1" w:lastColumn="0" w:oddVBand="0" w:evenVBand="0" w:oddHBand="0" w:evenHBand="0" w:firstRowFirstColumn="0" w:firstRowLastColumn="0" w:lastRowFirstColumn="0" w:lastRowLastColumn="0"/>
            <w:tcW w:w="224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2337"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4.2%</w:t>
            </w:r>
          </w:p>
        </w:tc>
      </w:tr>
      <w:tr w:rsidR="00C30C8B" w:rsidTr="00C30C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2337" w:type="dxa"/>
          </w:tcPr>
          <w:p w:rsidR="00C30C8B" w:rsidRDefault="00C30C8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C30C8B" w:rsidTr="00C30C8B">
        <w:trPr>
          <w:jc w:val="center"/>
        </w:trPr>
        <w:tc>
          <w:tcPr>
            <w:cnfStyle w:val="001000000000" w:firstRow="0" w:lastRow="0" w:firstColumn="1" w:lastColumn="0" w:oddVBand="0" w:evenVBand="0" w:oddHBand="0" w:evenHBand="0" w:firstRowFirstColumn="0" w:firstRowLastColumn="0" w:lastRowFirstColumn="0" w:lastRowLastColumn="0"/>
            <w:tcW w:w="2243" w:type="dxa"/>
            <w:tcBorders>
              <w:right w:val="nil"/>
            </w:tcBorders>
          </w:tcPr>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Intermediate</w:t>
            </w:r>
          </w:p>
        </w:tc>
        <w:tc>
          <w:tcPr>
            <w:tcW w:w="2337"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37 / 923</w:t>
            </w:r>
          </w:p>
        </w:tc>
      </w:tr>
      <w:tr w:rsidR="00C30C8B" w:rsidTr="00C30C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2337"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4.0%</w:t>
            </w:r>
          </w:p>
        </w:tc>
      </w:tr>
      <w:tr w:rsidR="00C30C8B" w:rsidTr="00C30C8B">
        <w:trPr>
          <w:jc w:val="center"/>
        </w:trPr>
        <w:tc>
          <w:tcPr>
            <w:cnfStyle w:val="001000000000" w:firstRow="0" w:lastRow="0" w:firstColumn="1" w:lastColumn="0" w:oddVBand="0" w:evenVBand="0" w:oddHBand="0" w:evenHBand="0" w:firstRowFirstColumn="0" w:firstRowLastColumn="0" w:lastRowFirstColumn="0" w:lastRowLastColumn="0"/>
            <w:tcW w:w="224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2337" w:type="dxa"/>
          </w:tcPr>
          <w:p w:rsidR="00C30C8B" w:rsidRDefault="00C30C8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C30C8B" w:rsidTr="00C30C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tcBorders>
              <w:right w:val="nil"/>
            </w:tcBorders>
          </w:tcPr>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Long term</w:t>
            </w:r>
          </w:p>
        </w:tc>
        <w:tc>
          <w:tcPr>
            <w:tcW w:w="2337"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423 / 6858</w:t>
            </w:r>
          </w:p>
        </w:tc>
      </w:tr>
      <w:tr w:rsidR="00C30C8B" w:rsidTr="00C30C8B">
        <w:trPr>
          <w:jc w:val="center"/>
        </w:trPr>
        <w:tc>
          <w:tcPr>
            <w:cnfStyle w:val="001000000000" w:firstRow="0" w:lastRow="0" w:firstColumn="1" w:lastColumn="0" w:oddVBand="0" w:evenVBand="0" w:oddHBand="0" w:evenHBand="0" w:firstRowFirstColumn="0" w:firstRowLastColumn="0" w:lastRowFirstColumn="0" w:lastRowLastColumn="0"/>
            <w:tcW w:w="224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2337"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6.17%</w:t>
            </w:r>
          </w:p>
        </w:tc>
      </w:tr>
      <w:tr w:rsidR="00C30C8B" w:rsidTr="00C30C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2337" w:type="dxa"/>
          </w:tcPr>
          <w:p w:rsidR="00C30C8B" w:rsidRDefault="00C30C8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p>
        </w:tc>
      </w:tr>
      <w:tr w:rsidR="00C30C8B" w:rsidTr="00C30C8B">
        <w:trPr>
          <w:jc w:val="center"/>
        </w:trPr>
        <w:tc>
          <w:tcPr>
            <w:cnfStyle w:val="001000000000" w:firstRow="0" w:lastRow="0" w:firstColumn="1" w:lastColumn="0" w:oddVBand="0" w:evenVBand="0" w:oddHBand="0" w:evenHBand="0" w:firstRowFirstColumn="0" w:firstRowLastColumn="0" w:lastRowFirstColumn="0" w:lastRowLastColumn="0"/>
            <w:tcW w:w="2243" w:type="dxa"/>
            <w:tcBorders>
              <w:right w:val="nil"/>
            </w:tcBorders>
          </w:tcPr>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337" w:type="dxa"/>
          </w:tcPr>
          <w:p w:rsidR="00C30C8B" w:rsidRDefault="001E516C">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487 / 8423</w:t>
            </w:r>
          </w:p>
        </w:tc>
      </w:tr>
      <w:tr w:rsidR="00C30C8B" w:rsidTr="00C30C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3" w:type="dxa"/>
            <w:tcBorders>
              <w:right w:val="nil"/>
            </w:tcBorders>
          </w:tcPr>
          <w:p w:rsidR="00C30C8B" w:rsidRDefault="00C30C8B">
            <w:pPr>
              <w:spacing w:line="480" w:lineRule="auto"/>
              <w:jc w:val="both"/>
              <w:rPr>
                <w:rFonts w:ascii="Times New Roman" w:eastAsia="Times New Roman" w:hAnsi="Times New Roman" w:cs="Times New Roman"/>
                <w:sz w:val="24"/>
                <w:szCs w:val="24"/>
              </w:rPr>
            </w:pPr>
          </w:p>
        </w:tc>
        <w:tc>
          <w:tcPr>
            <w:tcW w:w="2337" w:type="dxa"/>
          </w:tcPr>
          <w:p w:rsidR="00C30C8B" w:rsidRDefault="001E516C">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szCs w:val="24"/>
              </w:rPr>
            </w:pPr>
            <w:r>
              <w:rPr>
                <w:rFonts w:ascii="Times New Roman" w:eastAsia="Times New Roman" w:hAnsi="Times New Roman" w:cs="Times New Roman"/>
                <w:i/>
                <w:sz w:val="24"/>
                <w:szCs w:val="24"/>
              </w:rPr>
              <w:t>5.8%</w:t>
            </w:r>
          </w:p>
        </w:tc>
      </w:tr>
    </w:tbl>
    <w:p w:rsidR="00C30C8B" w:rsidRDefault="00C30C8B">
      <w:pPr>
        <w:spacing w:line="480" w:lineRule="auto"/>
        <w:jc w:val="both"/>
        <w:rPr>
          <w:rFonts w:ascii="Times New Roman" w:eastAsia="Times New Roman" w:hAnsi="Times New Roman" w:cs="Times New Roman"/>
          <w:sz w:val="24"/>
          <w:szCs w:val="24"/>
        </w:rPr>
      </w:pPr>
    </w:p>
    <w:p w:rsidR="00C30C8B" w:rsidRDefault="001E516C" w:rsidP="007F459E">
      <w:pPr>
        <w:spacing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qualitative review of these newspapers’ Hurricane Sandy coverage reveals many of the biases common in all climate change reporting, with authority-order bias and balance bias particularly prevalent. Politicians commanded acute media attention in the storm’s immediate aftermath for their comments framing it in the context of climate change, despite climate scientists’ reticence on the subject (Kahn, 2012). New York Governor Andrew Cuomo called Hurricane Sandy a “wake-up call” to climate change-induced extreme weather, writing in the </w:t>
      </w:r>
      <w:r>
        <w:rPr>
          <w:rFonts w:ascii="Times New Roman" w:eastAsia="Times New Roman" w:hAnsi="Times New Roman" w:cs="Times New Roman"/>
          <w:i/>
          <w:sz w:val="24"/>
          <w:szCs w:val="24"/>
        </w:rPr>
        <w:t>New York Daily News</w:t>
      </w:r>
      <w:r>
        <w:rPr>
          <w:rFonts w:ascii="Times New Roman" w:eastAsia="Times New Roman" w:hAnsi="Times New Roman" w:cs="Times New Roman"/>
          <w:sz w:val="24"/>
          <w:szCs w:val="24"/>
        </w:rPr>
        <w:t xml:space="preserve"> on November 15 that “</w:t>
      </w:r>
      <w:r>
        <w:rPr>
          <w:rFonts w:ascii="Times New Roman" w:eastAsia="Times New Roman" w:hAnsi="Times New Roman" w:cs="Times New Roman"/>
          <w:sz w:val="24"/>
          <w:szCs w:val="24"/>
          <w:highlight w:val="white"/>
        </w:rPr>
        <w:t xml:space="preserve">The denial and deliberation from extremists on both sides about the causes of climate change are distracting us from addressing its inarguable effects” (NYS Executive Chamber, 2012; Cuomo, 2012). New York City Mayor Michael Bloomberg hesitated to directly </w:t>
      </w:r>
      <w:r>
        <w:rPr>
          <w:rFonts w:ascii="Times New Roman" w:eastAsia="Times New Roman" w:hAnsi="Times New Roman" w:cs="Times New Roman"/>
          <w:sz w:val="24"/>
          <w:szCs w:val="24"/>
          <w:highlight w:val="white"/>
        </w:rPr>
        <w:lastRenderedPageBreak/>
        <w:t>attribute the storm to climate change but wrote in an op-ed that “the risk that it might be [connected]—given this week's devastation—should compel all elected leaders to take immediate action” (2012). Bloomberg later introduced a $20 billion plan to adapt New York’s infrastructure to extreme weather (Russ, 2013). Meanwhile, New Jersey Governor Chris Christie stated in May 2013 that, “[He didn’t] think there’s been any proof thus far that Sandy was caused by climate change” (Gonzalez, 2013).</w:t>
      </w:r>
    </w:p>
    <w:p w:rsidR="00C30C8B" w:rsidRDefault="001E516C" w:rsidP="007F459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Discussion</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aggregate data reveals that 5.8 percent of all articles about Hurricane Sandy from three major newspapers in the New York metropolitan area reference climate change. This figure is largely consistent with the conclusions of the aforementioned Public Citizen study that eight percent of all 2018 hurricane coverage also discussed climate change and that five percent of print media coverage did so (Carbon Omission, 2019). Despite industry trends showing that reports on climate change have risen steadily in recent years,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 xml:space="preserve"> is the only one of the three newspapers examined to exhibit a significant increase in the share of its Hurricane Sandy coverage that discussed climate change.</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difficult, however, to draw conclusions about the scale of climate change coverage from the data due to a number of idiosyncratic factors that </w:t>
      </w:r>
      <w:proofErr w:type="gramStart"/>
      <w:r>
        <w:rPr>
          <w:rFonts w:ascii="Times New Roman" w:eastAsia="Times New Roman" w:hAnsi="Times New Roman" w:cs="Times New Roman"/>
          <w:sz w:val="24"/>
          <w:szCs w:val="24"/>
        </w:rPr>
        <w:t>cannot be universalized</w:t>
      </w:r>
      <w:proofErr w:type="gramEnd"/>
      <w:r>
        <w:rPr>
          <w:rFonts w:ascii="Times New Roman" w:eastAsia="Times New Roman" w:hAnsi="Times New Roman" w:cs="Times New Roman"/>
          <w:sz w:val="24"/>
          <w:szCs w:val="24"/>
        </w:rPr>
        <w:t xml:space="preserve">. For one, this study analyzes articles from an interval of seven years. It is probable that media coverage, regardless of the issue, concentrates on varying elements as new information </w:t>
      </w:r>
      <w:proofErr w:type="gramStart"/>
      <w:r>
        <w:rPr>
          <w:rFonts w:ascii="Times New Roman" w:eastAsia="Times New Roman" w:hAnsi="Times New Roman" w:cs="Times New Roman"/>
          <w:sz w:val="24"/>
          <w:szCs w:val="24"/>
        </w:rPr>
        <w:t>is introduced</w:t>
      </w:r>
      <w:proofErr w:type="gramEnd"/>
      <w:r>
        <w:rPr>
          <w:rFonts w:ascii="Times New Roman" w:eastAsia="Times New Roman" w:hAnsi="Times New Roman" w:cs="Times New Roman"/>
          <w:sz w:val="24"/>
          <w:szCs w:val="24"/>
        </w:rPr>
        <w:t xml:space="preserve"> and fluctuates over time due to phenomena like the issue-attention cycle. Several factors intrinsic to Hurricane Sandy further make it a poor case study for extrapolation. Based on the size of the metropolitan area and low frequency of powerful hurricanes in the Northeast United States, the storm evoked an </w:t>
      </w:r>
      <w:proofErr w:type="gramStart"/>
      <w:r>
        <w:rPr>
          <w:rFonts w:ascii="Times New Roman" w:eastAsia="Times New Roman" w:hAnsi="Times New Roman" w:cs="Times New Roman"/>
          <w:sz w:val="24"/>
          <w:szCs w:val="24"/>
        </w:rPr>
        <w:t>outsized,</w:t>
      </w:r>
      <w:proofErr w:type="gramEnd"/>
      <w:r>
        <w:rPr>
          <w:rFonts w:ascii="Times New Roman" w:eastAsia="Times New Roman" w:hAnsi="Times New Roman" w:cs="Times New Roman"/>
          <w:sz w:val="24"/>
          <w:szCs w:val="24"/>
        </w:rPr>
        <w:t xml:space="preserve"> and likely abnormal, media response—its strength may have also altered coverage by disrupting New York-based media organizations (Mirkinson, 2012; Haughney &amp; </w:t>
      </w:r>
      <w:r>
        <w:rPr>
          <w:rFonts w:ascii="Times New Roman" w:eastAsia="Times New Roman" w:hAnsi="Times New Roman" w:cs="Times New Roman"/>
          <w:sz w:val="24"/>
          <w:szCs w:val="24"/>
        </w:rPr>
        <w:lastRenderedPageBreak/>
        <w:t xml:space="preserve">Stelter, 2012). Moreover, as the region </w:t>
      </w:r>
      <w:proofErr w:type="gramStart"/>
      <w:r>
        <w:rPr>
          <w:rFonts w:ascii="Times New Roman" w:eastAsia="Times New Roman" w:hAnsi="Times New Roman" w:cs="Times New Roman"/>
          <w:sz w:val="24"/>
          <w:szCs w:val="24"/>
        </w:rPr>
        <w:t>is largely represented</w:t>
      </w:r>
      <w:proofErr w:type="gramEnd"/>
      <w:r>
        <w:rPr>
          <w:rFonts w:ascii="Times New Roman" w:eastAsia="Times New Roman" w:hAnsi="Times New Roman" w:cs="Times New Roman"/>
          <w:sz w:val="24"/>
          <w:szCs w:val="24"/>
        </w:rPr>
        <w:t xml:space="preserve"> by progressive politicians who are more likely to draw a link between Hurricane Sandy and climate change, media coverage of both subjects may be higher than in other circumstances.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Nonetheless, it remains important to hypothesize whether media coverage of the storm had an impact on public awareness and risk perception of climate change. It is the belief of veteran journalist Dale Willman that, “In terms of agenda-setting, the media don’t tell people what to think, but they tell them what to think about” (Boykoff, 2007, p. 484). However, recent studies have suggested that media coverage of climate change </w:t>
      </w:r>
      <w:proofErr w:type="gramStart"/>
      <w:r>
        <w:rPr>
          <w:rFonts w:ascii="Times New Roman" w:eastAsia="Times New Roman" w:hAnsi="Times New Roman" w:cs="Times New Roman"/>
          <w:sz w:val="24"/>
          <w:szCs w:val="24"/>
        </w:rPr>
        <w:t>is correlated</w:t>
      </w:r>
      <w:proofErr w:type="gramEnd"/>
      <w:r>
        <w:rPr>
          <w:rFonts w:ascii="Times New Roman" w:eastAsia="Times New Roman" w:hAnsi="Times New Roman" w:cs="Times New Roman"/>
          <w:sz w:val="24"/>
          <w:szCs w:val="24"/>
        </w:rPr>
        <w:t xml:space="preserve"> with public concern for it. Moreover, such coverage invites sympathy and likely makes a greater impression on news consumers when it shows how climate change affects their own community, rather than an impersonal location. </w:t>
      </w:r>
      <w:proofErr w:type="gramStart"/>
      <w:r>
        <w:rPr>
          <w:rFonts w:ascii="Times New Roman" w:eastAsia="Times New Roman" w:hAnsi="Times New Roman" w:cs="Times New Roman"/>
          <w:sz w:val="24"/>
          <w:szCs w:val="24"/>
        </w:rPr>
        <w:t xml:space="preserve">This literature suggests that based on the high concentration of media outlets in the New York market and Hurricane Sandy’s unusual strength for the region, the storm presented a powerful opportunity for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New York Daily News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The New York Post</w:t>
      </w:r>
      <w:r>
        <w:rPr>
          <w:rFonts w:ascii="Times New Roman" w:eastAsia="Times New Roman" w:hAnsi="Times New Roman" w:cs="Times New Roman"/>
          <w:sz w:val="24"/>
          <w:szCs w:val="24"/>
        </w:rPr>
        <w:t xml:space="preserve"> to accurately and holistically inform their readers about the dangerous effects of climate change, thus empowering them to effect political change.</w:t>
      </w:r>
      <w:proofErr w:type="gramEnd"/>
      <w:r>
        <w:rPr>
          <w:rFonts w:ascii="Times New Roman" w:eastAsia="Times New Roman" w:hAnsi="Times New Roman" w:cs="Times New Roman"/>
          <w:sz w:val="24"/>
          <w:szCs w:val="24"/>
        </w:rPr>
        <w:t xml:space="preserve"> With just six percent of their storm coverage referencing climate change, they largely failed to do so.</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ignoring the biases that plague all climate change reporting, the impact on public opinion of these publications’ failure to cover the climate change aspect of Hurricane Sandy is particularly difficult to characterize due to a number of factors. For one, this analysis included any article that mentions both Hurricane Sandy and climate change, but it is unclear whether traditional, ideologically neutral news articles have a different impact than editorials and op-eds on public opinion. Finally, while this analysis focused on print journalism purely for the efficacy of media analysis tools like Nexis Uni, newspaper readers do not reflect national demographics. For one, only 13 percent of New York area respondents to a recent Pew Research survey listed </w:t>
      </w:r>
      <w:r>
        <w:rPr>
          <w:rFonts w:ascii="Times New Roman" w:eastAsia="Times New Roman" w:hAnsi="Times New Roman" w:cs="Times New Roman"/>
          <w:sz w:val="24"/>
          <w:szCs w:val="24"/>
        </w:rPr>
        <w:lastRenderedPageBreak/>
        <w:t xml:space="preserve">print media as their preferred news source (What are the Local Dynamics, 2019). Additionally, newspaper readers tend to be older and have lived in their current place of residence longer than the average American—they may also be wealthier, though this </w:t>
      </w:r>
      <w:proofErr w:type="gramStart"/>
      <w:r>
        <w:rPr>
          <w:rFonts w:ascii="Times New Roman" w:eastAsia="Times New Roman" w:hAnsi="Times New Roman" w:cs="Times New Roman"/>
          <w:sz w:val="24"/>
          <w:szCs w:val="24"/>
        </w:rPr>
        <w:t>has not been conclusively proven</w:t>
      </w:r>
      <w:proofErr w:type="gramEnd"/>
      <w:r>
        <w:rPr>
          <w:rFonts w:ascii="Times New Roman" w:eastAsia="Times New Roman" w:hAnsi="Times New Roman" w:cs="Times New Roman"/>
          <w:sz w:val="24"/>
          <w:szCs w:val="24"/>
        </w:rPr>
        <w:t xml:space="preserve"> (Malthouse &amp; Calder, 2006). As people often use media reports to confirm, rather than inform, their beliefs, the small share and demographic skew of newspaper readers make their opinions vis-à-vis climate change particularly unrepresentative of all media consumers.</w:t>
      </w:r>
    </w:p>
    <w:p w:rsidR="00C30C8B" w:rsidRDefault="001E516C">
      <w:pPr>
        <w:numPr>
          <w:ilvl w:val="0"/>
          <w:numId w:val="1"/>
        </w:numPr>
        <w:spacing w:line="48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Political mobilization for more effective climate change policies is ultimately contingent on a number of factors. In their research into public opinion on climate change, Irene Lorenzoni and Nick Pidgeon conclude that: A risk communication strategy based on providing scientifically sound information alone … will not be sufficient in itself. Perceptions of climate change are more complex, defined by varied conceptualizations of agency, responsibility and trust. Successful action is only likely to take place if individuals feel they can and should make a difference, and if it </w:t>
      </w:r>
      <w:proofErr w:type="gramStart"/>
      <w:r>
        <w:rPr>
          <w:rFonts w:ascii="Times New Roman" w:eastAsia="Times New Roman" w:hAnsi="Times New Roman" w:cs="Times New Roman"/>
          <w:sz w:val="24"/>
          <w:szCs w:val="24"/>
        </w:rPr>
        <w:t>is firmly based</w:t>
      </w:r>
      <w:proofErr w:type="gramEnd"/>
      <w:r>
        <w:rPr>
          <w:rFonts w:ascii="Times New Roman" w:eastAsia="Times New Roman" w:hAnsi="Times New Roman" w:cs="Times New Roman"/>
          <w:sz w:val="24"/>
          <w:szCs w:val="24"/>
        </w:rPr>
        <w:t xml:space="preserve"> upon the trust placed in government and institutional capabilities for adequately managing risks and delivering the means to achieve change (Lorenzoni &amp; Pidgeon, 2006, p. 77).</w:t>
      </w:r>
    </w:p>
    <w:p w:rsidR="00C30C8B" w:rsidRDefault="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Nonetheless, this analysis has revealed that a) the media has a powerful, if indirect, force behind popular mobilization through its influence on issue awareness, and b) it has largely failed to achieve this influence as it relates to climate change due to harmful, recurring biases in its coverage. The case study of Hurricane Sandy largely reflects this dynamic, as the local media did not frame the storm in the context of an anthropogenic climate change-induced trend of increasingly dangerous extreme weather events—and when it did, fundamental flaws in its coverage likely limited, nullified, or even reversed its impact. For the media to realize its full potential, holding powerful actors accountable and empowering citizens, it must reject these </w:t>
      </w:r>
      <w:r>
        <w:rPr>
          <w:rFonts w:ascii="Times New Roman" w:eastAsia="Times New Roman" w:hAnsi="Times New Roman" w:cs="Times New Roman"/>
          <w:sz w:val="24"/>
          <w:szCs w:val="24"/>
        </w:rPr>
        <w:lastRenderedPageBreak/>
        <w:t>harmful tendencies and instead provide accurate, deliberate climate reporting. If the scientific community is right, it will have many more opportunities to do so.</w:t>
      </w: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1E516C" w:rsidRDefault="001E516C">
      <w:pPr>
        <w:spacing w:line="480" w:lineRule="auto"/>
        <w:rPr>
          <w:rFonts w:ascii="Times New Roman" w:eastAsia="Times New Roman" w:hAnsi="Times New Roman" w:cs="Times New Roman"/>
          <w:b/>
          <w:sz w:val="24"/>
          <w:szCs w:val="24"/>
        </w:rPr>
      </w:pPr>
    </w:p>
    <w:p w:rsidR="001E516C" w:rsidRDefault="001E516C">
      <w:pPr>
        <w:spacing w:line="480" w:lineRule="auto"/>
        <w:rPr>
          <w:rFonts w:ascii="Times New Roman" w:eastAsia="Times New Roman" w:hAnsi="Times New Roman" w:cs="Times New Roman"/>
          <w:b/>
          <w:sz w:val="24"/>
          <w:szCs w:val="24"/>
        </w:rPr>
      </w:pPr>
    </w:p>
    <w:p w:rsidR="001E516C" w:rsidRDefault="001E516C">
      <w:pPr>
        <w:spacing w:line="480" w:lineRule="auto"/>
        <w:rPr>
          <w:rFonts w:ascii="Times New Roman" w:eastAsia="Times New Roman" w:hAnsi="Times New Roman" w:cs="Times New Roman"/>
          <w:b/>
          <w:sz w:val="24"/>
          <w:szCs w:val="24"/>
        </w:rPr>
      </w:pPr>
    </w:p>
    <w:p w:rsidR="001E516C" w:rsidRDefault="001E516C">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C30C8B" w:rsidRDefault="00C30C8B">
      <w:pPr>
        <w:spacing w:line="480" w:lineRule="auto"/>
        <w:rPr>
          <w:rFonts w:ascii="Times New Roman" w:eastAsia="Times New Roman" w:hAnsi="Times New Roman" w:cs="Times New Roman"/>
          <w:b/>
          <w:sz w:val="24"/>
          <w:szCs w:val="24"/>
        </w:rPr>
      </w:pPr>
    </w:p>
    <w:p w:rsidR="001E516C" w:rsidRDefault="001E516C">
      <w:pPr>
        <w:jc w:val="center"/>
        <w:rPr>
          <w:rFonts w:ascii="Times New Roman" w:eastAsia="Times New Roman" w:hAnsi="Times New Roman" w:cs="Times New Roman"/>
          <w:b/>
          <w:sz w:val="24"/>
          <w:szCs w:val="24"/>
        </w:rPr>
      </w:pPr>
    </w:p>
    <w:p w:rsidR="001E516C" w:rsidRDefault="001E516C">
      <w:pPr>
        <w:jc w:val="center"/>
        <w:rPr>
          <w:rFonts w:ascii="Times New Roman" w:eastAsia="Times New Roman" w:hAnsi="Times New Roman" w:cs="Times New Roman"/>
          <w:b/>
          <w:sz w:val="24"/>
          <w:szCs w:val="24"/>
        </w:rPr>
      </w:pPr>
    </w:p>
    <w:p w:rsidR="001E516C" w:rsidRDefault="001E516C">
      <w:pPr>
        <w:jc w:val="center"/>
        <w:rPr>
          <w:rFonts w:ascii="Times New Roman" w:eastAsia="Times New Roman" w:hAnsi="Times New Roman" w:cs="Times New Roman"/>
          <w:b/>
          <w:sz w:val="24"/>
          <w:szCs w:val="24"/>
        </w:rPr>
      </w:pPr>
    </w:p>
    <w:p w:rsidR="001E516C" w:rsidRDefault="001E516C">
      <w:pPr>
        <w:jc w:val="center"/>
        <w:rPr>
          <w:rFonts w:ascii="Times New Roman" w:eastAsia="Times New Roman" w:hAnsi="Times New Roman" w:cs="Times New Roman"/>
          <w:b/>
          <w:sz w:val="24"/>
          <w:szCs w:val="24"/>
        </w:rPr>
      </w:pPr>
    </w:p>
    <w:p w:rsidR="001E516C" w:rsidRDefault="001E516C">
      <w:pPr>
        <w:jc w:val="center"/>
        <w:rPr>
          <w:rFonts w:ascii="Times New Roman" w:eastAsia="Times New Roman" w:hAnsi="Times New Roman" w:cs="Times New Roman"/>
          <w:b/>
          <w:sz w:val="24"/>
          <w:szCs w:val="24"/>
        </w:rPr>
      </w:pPr>
    </w:p>
    <w:p w:rsidR="001E516C" w:rsidRDefault="001E516C">
      <w:pPr>
        <w:jc w:val="center"/>
        <w:rPr>
          <w:rFonts w:ascii="Times New Roman" w:eastAsia="Times New Roman" w:hAnsi="Times New Roman" w:cs="Times New Roman"/>
          <w:b/>
          <w:sz w:val="24"/>
          <w:szCs w:val="24"/>
        </w:rPr>
      </w:pPr>
    </w:p>
    <w:p w:rsidR="001E516C" w:rsidRDefault="001E516C">
      <w:pPr>
        <w:jc w:val="center"/>
        <w:rPr>
          <w:rFonts w:ascii="Times New Roman" w:eastAsia="Times New Roman" w:hAnsi="Times New Roman" w:cs="Times New Roman"/>
          <w:b/>
          <w:sz w:val="24"/>
          <w:szCs w:val="24"/>
        </w:rPr>
      </w:pPr>
    </w:p>
    <w:p w:rsidR="001E516C" w:rsidRDefault="001E516C">
      <w:pPr>
        <w:jc w:val="center"/>
        <w:rPr>
          <w:rFonts w:ascii="Times New Roman" w:eastAsia="Times New Roman" w:hAnsi="Times New Roman" w:cs="Times New Roman"/>
          <w:b/>
          <w:sz w:val="24"/>
          <w:szCs w:val="24"/>
        </w:rPr>
      </w:pPr>
    </w:p>
    <w:p w:rsidR="00C30C8B" w:rsidRDefault="007F45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Bibliography</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Bennett, W. Lance. </w:t>
      </w:r>
      <w:r>
        <w:rPr>
          <w:rFonts w:ascii="Times New Roman" w:eastAsia="Times New Roman" w:hAnsi="Times New Roman" w:cs="Times New Roman"/>
          <w:i/>
          <w:sz w:val="24"/>
          <w:szCs w:val="24"/>
        </w:rPr>
        <w:t>News: The Politics of Illusion</w:t>
      </w:r>
      <w:r>
        <w:rPr>
          <w:rFonts w:ascii="Times New Roman" w:eastAsia="Times New Roman" w:hAnsi="Times New Roman" w:cs="Times New Roman"/>
          <w:sz w:val="24"/>
          <w:szCs w:val="24"/>
        </w:rPr>
        <w:t>. U of Chicago, 2002.</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Blake, Eric S., et al. </w:t>
      </w:r>
      <w:r>
        <w:rPr>
          <w:rFonts w:ascii="Times New Roman" w:eastAsia="Times New Roman" w:hAnsi="Times New Roman" w:cs="Times New Roman"/>
          <w:i/>
          <w:sz w:val="24"/>
          <w:szCs w:val="24"/>
        </w:rPr>
        <w:t>Tropical Cyclone Report: Hurricane Sandy</w:t>
      </w:r>
      <w:r>
        <w:rPr>
          <w:rFonts w:ascii="Times New Roman" w:eastAsia="Times New Roman" w:hAnsi="Times New Roman" w:cs="Times New Roman"/>
          <w:sz w:val="24"/>
          <w:szCs w:val="24"/>
        </w:rPr>
        <w:t xml:space="preserve">. National Hurricane Center, 12 Feb. 2013, </w:t>
      </w:r>
      <w:hyperlink r:id="rId80">
        <w:r>
          <w:rPr>
            <w:rFonts w:ascii="Times New Roman" w:eastAsia="Times New Roman" w:hAnsi="Times New Roman" w:cs="Times New Roman"/>
            <w:color w:val="1155CC"/>
            <w:sz w:val="24"/>
            <w:szCs w:val="24"/>
            <w:u w:val="single"/>
          </w:rPr>
          <w:t>https://www.nhc.noaa.gov/data/tcr/AL182012_Sandy.pdf</w:t>
        </w:r>
      </w:hyperlink>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Bloomberg, Michael R. “A Vote for a President to Lead on Climate Change.” </w:t>
      </w:r>
      <w:r>
        <w:rPr>
          <w:rFonts w:ascii="Times New Roman" w:eastAsia="Times New Roman" w:hAnsi="Times New Roman" w:cs="Times New Roman"/>
          <w:i/>
          <w:sz w:val="24"/>
          <w:szCs w:val="24"/>
        </w:rPr>
        <w:t>Bloomberg Opinion</w:t>
      </w:r>
      <w:r>
        <w:rPr>
          <w:rFonts w:ascii="Times New Roman" w:eastAsia="Times New Roman" w:hAnsi="Times New Roman" w:cs="Times New Roman"/>
          <w:sz w:val="24"/>
          <w:szCs w:val="24"/>
        </w:rPr>
        <w:t xml:space="preserve">, 1 Nov. 2012, </w:t>
      </w:r>
      <w:hyperlink r:id="rId81">
        <w:r>
          <w:rPr>
            <w:rFonts w:ascii="Times New Roman" w:eastAsia="Times New Roman" w:hAnsi="Times New Roman" w:cs="Times New Roman"/>
            <w:color w:val="1155CC"/>
            <w:sz w:val="24"/>
            <w:szCs w:val="24"/>
            <w:u w:val="single"/>
          </w:rPr>
          <w:t>https://www.bloomberg.com/opinion/articles/2012-11-01/a-vote-for-a-president-to-lead-on-climate-change</w:t>
        </w:r>
      </w:hyperlink>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Boykoff, Maxwell T. “From Convergence to Contention: United States Mass Media Representations of Anthropogenic Climate Change Science.” </w:t>
      </w:r>
      <w:r>
        <w:rPr>
          <w:rFonts w:ascii="Times New Roman" w:eastAsia="Times New Roman" w:hAnsi="Times New Roman" w:cs="Times New Roman"/>
          <w:i/>
          <w:sz w:val="24"/>
          <w:szCs w:val="24"/>
        </w:rPr>
        <w:t>Transactions of the Institute of British Geographers</w:t>
      </w:r>
      <w:r>
        <w:rPr>
          <w:rFonts w:ascii="Times New Roman" w:eastAsia="Times New Roman" w:hAnsi="Times New Roman" w:cs="Times New Roman"/>
          <w:sz w:val="24"/>
          <w:szCs w:val="24"/>
        </w:rPr>
        <w:t>, vol. 32, no. 4, Oct. 2007, pp. 477–89.</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Boykoff, Maxwell T., and Jules M. Boykoff. “Balance as Bias: Global Warming and the US Prestige Press.” </w:t>
      </w:r>
      <w:r>
        <w:rPr>
          <w:rFonts w:ascii="Times New Roman" w:eastAsia="Times New Roman" w:hAnsi="Times New Roman" w:cs="Times New Roman"/>
          <w:i/>
          <w:sz w:val="24"/>
          <w:szCs w:val="24"/>
        </w:rPr>
        <w:t>Global Environmental Change</w:t>
      </w:r>
      <w:r>
        <w:rPr>
          <w:rFonts w:ascii="Times New Roman" w:eastAsia="Times New Roman" w:hAnsi="Times New Roman" w:cs="Times New Roman"/>
          <w:sz w:val="24"/>
          <w:szCs w:val="24"/>
        </w:rPr>
        <w:t>, vol. 14, no. 2, July 2004, pp. 125–36.</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“Climate Change and Journalistic Norms: A Case-Study of US Mass-Media Coverage.” </w:t>
      </w:r>
      <w:r>
        <w:rPr>
          <w:rFonts w:ascii="Times New Roman" w:eastAsia="Times New Roman" w:hAnsi="Times New Roman" w:cs="Times New Roman"/>
          <w:i/>
          <w:sz w:val="24"/>
          <w:szCs w:val="24"/>
        </w:rPr>
        <w:t>Geoforum</w:t>
      </w:r>
      <w:r>
        <w:rPr>
          <w:rFonts w:ascii="Times New Roman" w:eastAsia="Times New Roman" w:hAnsi="Times New Roman" w:cs="Times New Roman"/>
          <w:sz w:val="24"/>
          <w:szCs w:val="24"/>
        </w:rPr>
        <w:t>, Nov. 2007.</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Boykoff, Maxwell T., and J. Timmons Roberts. </w:t>
      </w:r>
      <w:r>
        <w:rPr>
          <w:rFonts w:ascii="Times New Roman" w:eastAsia="Times New Roman" w:hAnsi="Times New Roman" w:cs="Times New Roman"/>
          <w:i/>
          <w:sz w:val="24"/>
          <w:szCs w:val="24"/>
        </w:rPr>
        <w:t>Media Coverage of Climate Change: Current Trends, Strengths, Weaknesses</w:t>
      </w:r>
      <w:r>
        <w:rPr>
          <w:rFonts w:ascii="Times New Roman" w:eastAsia="Times New Roman" w:hAnsi="Times New Roman" w:cs="Times New Roman"/>
          <w:sz w:val="24"/>
          <w:szCs w:val="24"/>
        </w:rPr>
        <w:t>. United Nations Development Programme, 2008, pp. 1–53, http://hdr.undp.org/sites/default/files/boykoff_maxwell_and_roberts_j._timmons.pdf.</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sidRPr="001E516C">
        <w:rPr>
          <w:rFonts w:ascii="Times New Roman" w:eastAsia="Times New Roman" w:hAnsi="Times New Roman" w:cs="Times New Roman"/>
          <w:sz w:val="24"/>
          <w:szCs w:val="24"/>
          <w:lang w:val="fr-FR"/>
        </w:rPr>
        <w:t xml:space="preserve">Brulle, Robert J., et al. </w:t>
      </w:r>
      <w:r>
        <w:rPr>
          <w:rFonts w:ascii="Times New Roman" w:eastAsia="Times New Roman" w:hAnsi="Times New Roman" w:cs="Times New Roman"/>
          <w:sz w:val="24"/>
          <w:szCs w:val="24"/>
        </w:rPr>
        <w:t xml:space="preserve">“Shifting Public Opinion on Climate Change: An Empirical Assessment of Factors Influencing Concern over Climate Change in the U.S., 2002-2010.” </w:t>
      </w:r>
      <w:r>
        <w:rPr>
          <w:rFonts w:ascii="Times New Roman" w:eastAsia="Times New Roman" w:hAnsi="Times New Roman" w:cs="Times New Roman"/>
          <w:i/>
          <w:sz w:val="24"/>
          <w:szCs w:val="24"/>
        </w:rPr>
        <w:t>Climatic Change</w:t>
      </w:r>
      <w:r>
        <w:rPr>
          <w:rFonts w:ascii="Times New Roman" w:eastAsia="Times New Roman" w:hAnsi="Times New Roman" w:cs="Times New Roman"/>
          <w:sz w:val="24"/>
          <w:szCs w:val="24"/>
        </w:rPr>
        <w:t>, vol. 114, no. 2, Sept. 2012, pp. 169–88.</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i/>
          <w:sz w:val="24"/>
          <w:szCs w:val="24"/>
        </w:rPr>
        <w:t>Carbon Omission: How the U.S. Media Failed to Connect Extreme Weather to Climate Change in 2018</w:t>
      </w:r>
      <w:r>
        <w:rPr>
          <w:rFonts w:ascii="Times New Roman" w:eastAsia="Times New Roman" w:hAnsi="Times New Roman" w:cs="Times New Roman"/>
          <w:sz w:val="24"/>
          <w:szCs w:val="24"/>
        </w:rPr>
        <w:t>. Public Citizen, 31 Jan. 2019.</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Carvalho, Anabela. “Representing the Politics of the Greenhouse Effect: Discursive Strategies in the British Media.” </w:t>
      </w:r>
      <w:r>
        <w:rPr>
          <w:rFonts w:ascii="Times New Roman" w:eastAsia="Times New Roman" w:hAnsi="Times New Roman" w:cs="Times New Roman"/>
          <w:i/>
          <w:sz w:val="24"/>
          <w:szCs w:val="24"/>
        </w:rPr>
        <w:t>Critical Discourse Studies</w:t>
      </w:r>
      <w:r>
        <w:rPr>
          <w:rFonts w:ascii="Times New Roman" w:eastAsia="Times New Roman" w:hAnsi="Times New Roman" w:cs="Times New Roman"/>
          <w:sz w:val="24"/>
          <w:szCs w:val="24"/>
        </w:rPr>
        <w:t>, vol. 2, no. 1, Apr. 2005, pp. 1–29.</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Carvalho, Anabela, and Jacquelin Burgess. “Cultural Circuits of Climate Change in U.K. </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Broadsheet Newspapers, 1985–2003.” </w:t>
      </w:r>
      <w:r>
        <w:rPr>
          <w:rFonts w:ascii="Times New Roman" w:eastAsia="Times New Roman" w:hAnsi="Times New Roman" w:cs="Times New Roman"/>
          <w:i/>
          <w:sz w:val="24"/>
          <w:szCs w:val="24"/>
        </w:rPr>
        <w:t>Risk Analysis</w:t>
      </w:r>
      <w:r>
        <w:rPr>
          <w:rFonts w:ascii="Times New Roman" w:eastAsia="Times New Roman" w:hAnsi="Times New Roman" w:cs="Times New Roman"/>
          <w:sz w:val="24"/>
          <w:szCs w:val="24"/>
        </w:rPr>
        <w:t>, vol. 25, no. 6, 2005, pp. 1457–69.</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Cuomo, Andrew. “We Will Lead on Climate Change.” </w:t>
      </w:r>
      <w:r>
        <w:rPr>
          <w:rFonts w:ascii="Times New Roman" w:eastAsia="Times New Roman" w:hAnsi="Times New Roman" w:cs="Times New Roman"/>
          <w:i/>
          <w:sz w:val="24"/>
          <w:szCs w:val="24"/>
        </w:rPr>
        <w:t>New York Daily News</w:t>
      </w:r>
      <w:r>
        <w:rPr>
          <w:rFonts w:ascii="Times New Roman" w:eastAsia="Times New Roman" w:hAnsi="Times New Roman" w:cs="Times New Roman"/>
          <w:sz w:val="24"/>
          <w:szCs w:val="24"/>
        </w:rPr>
        <w:t xml:space="preserve">, 15 Nov. 2012, </w:t>
      </w:r>
      <w:hyperlink r:id="rId82">
        <w:r>
          <w:rPr>
            <w:rFonts w:ascii="Times New Roman" w:eastAsia="Times New Roman" w:hAnsi="Times New Roman" w:cs="Times New Roman"/>
            <w:color w:val="1155CC"/>
            <w:sz w:val="24"/>
            <w:szCs w:val="24"/>
            <w:u w:val="single"/>
          </w:rPr>
          <w:t>https://www.nydailynews.com/opinion/lead-climate-change-article-1.1202221</w:t>
        </w:r>
      </w:hyperlink>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Downs, Anthony. “Up and down with Ecology —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‘issue-Attention Cycle.’” </w:t>
      </w:r>
      <w:r>
        <w:rPr>
          <w:rFonts w:ascii="Times New Roman" w:eastAsia="Times New Roman" w:hAnsi="Times New Roman" w:cs="Times New Roman"/>
          <w:i/>
          <w:sz w:val="24"/>
          <w:szCs w:val="24"/>
        </w:rPr>
        <w:t>Public Interest</w:t>
      </w:r>
      <w:r>
        <w:rPr>
          <w:rFonts w:ascii="Times New Roman" w:eastAsia="Times New Roman" w:hAnsi="Times New Roman" w:cs="Times New Roman"/>
          <w:sz w:val="24"/>
          <w:szCs w:val="24"/>
        </w:rPr>
        <w:t xml:space="preserve">, vol. 28, </w:t>
      </w:r>
      <w:proofErr w:type="gramStart"/>
      <w:r>
        <w:rPr>
          <w:rFonts w:ascii="Times New Roman" w:eastAsia="Times New Roman" w:hAnsi="Times New Roman" w:cs="Times New Roman"/>
          <w:sz w:val="24"/>
          <w:szCs w:val="24"/>
        </w:rPr>
        <w:t>Summer</w:t>
      </w:r>
      <w:proofErr w:type="gramEnd"/>
      <w:r>
        <w:rPr>
          <w:rFonts w:ascii="Times New Roman" w:eastAsia="Times New Roman" w:hAnsi="Times New Roman" w:cs="Times New Roman"/>
          <w:sz w:val="24"/>
          <w:szCs w:val="24"/>
        </w:rPr>
        <w:t xml:space="preserve"> 1972, pp. 38–50.</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Eilperin, Juliet. “Severe Hurricanes Increasing, Study Finds.” </w:t>
      </w:r>
      <w:r>
        <w:rPr>
          <w:rFonts w:ascii="Times New Roman" w:eastAsia="Times New Roman" w:hAnsi="Times New Roman" w:cs="Times New Roman"/>
          <w:i/>
          <w:sz w:val="24"/>
          <w:szCs w:val="24"/>
        </w:rPr>
        <w:t>The Washington Post</w:t>
      </w:r>
      <w:r>
        <w:rPr>
          <w:rFonts w:ascii="Times New Roman" w:eastAsia="Times New Roman" w:hAnsi="Times New Roman" w:cs="Times New Roman"/>
          <w:sz w:val="24"/>
          <w:szCs w:val="24"/>
        </w:rPr>
        <w:t xml:space="preserve">, 16 Sept. 2005, </w:t>
      </w:r>
      <w:hyperlink r:id="rId83">
        <w:r>
          <w:rPr>
            <w:rFonts w:ascii="Times New Roman" w:eastAsia="Times New Roman" w:hAnsi="Times New Roman" w:cs="Times New Roman"/>
            <w:color w:val="1155CC"/>
            <w:sz w:val="24"/>
            <w:szCs w:val="24"/>
            <w:u w:val="single"/>
          </w:rPr>
          <w:t>http://www.washingtonpost.com/wp-dyn/content/article/2005/09/15/AR2005091502234.html</w:t>
        </w:r>
      </w:hyperlink>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"FEMA Fact Sheet: Mitigation Assessment Team Results – Hurricane Sandy." </w:t>
      </w:r>
      <w:r>
        <w:rPr>
          <w:rFonts w:ascii="Times New Roman" w:eastAsia="Times New Roman" w:hAnsi="Times New Roman" w:cs="Times New Roman"/>
          <w:i/>
          <w:sz w:val="24"/>
          <w:szCs w:val="24"/>
        </w:rPr>
        <w:t xml:space="preserve">Federal Emergency Management </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i/>
          <w:sz w:val="24"/>
          <w:szCs w:val="24"/>
        </w:rPr>
        <w:t>Agency</w:t>
      </w:r>
      <w:r>
        <w:rPr>
          <w:rFonts w:ascii="Times New Roman" w:eastAsia="Times New Roman" w:hAnsi="Times New Roman" w:cs="Times New Roman"/>
          <w:sz w:val="24"/>
          <w:szCs w:val="24"/>
        </w:rPr>
        <w:t xml:space="preserve">, 9 June 2018, </w:t>
      </w:r>
      <w:hyperlink r:id="rId84">
        <w:r>
          <w:rPr>
            <w:rFonts w:ascii="Times New Roman" w:eastAsia="Times New Roman" w:hAnsi="Times New Roman" w:cs="Times New Roman"/>
            <w:color w:val="1155CC"/>
            <w:sz w:val="24"/>
            <w:szCs w:val="24"/>
            <w:u w:val="single"/>
          </w:rPr>
          <w:t>www.fema.gov/mat-results-hurricane-sandy</w:t>
        </w:r>
      </w:hyperlink>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Local News, Americans Embrace Digital but Still Want Strong Community Connection.” </w:t>
      </w:r>
      <w:r>
        <w:rPr>
          <w:rFonts w:ascii="Times New Roman" w:eastAsia="Times New Roman" w:hAnsi="Times New Roman" w:cs="Times New Roman"/>
          <w:i/>
          <w:sz w:val="24"/>
          <w:szCs w:val="24"/>
        </w:rPr>
        <w:t>Pew Research Center</w:t>
      </w:r>
      <w:r>
        <w:rPr>
          <w:rFonts w:ascii="Times New Roman" w:eastAsia="Times New Roman" w:hAnsi="Times New Roman" w:cs="Times New Roman"/>
          <w:sz w:val="24"/>
          <w:szCs w:val="24"/>
        </w:rPr>
        <w:t xml:space="preserve">, 26 Mar. 2019, </w:t>
      </w:r>
      <w:hyperlink r:id="rId85">
        <w:r>
          <w:rPr>
            <w:rFonts w:ascii="Times New Roman" w:eastAsia="Times New Roman" w:hAnsi="Times New Roman" w:cs="Times New Roman"/>
            <w:color w:val="1155CC"/>
            <w:sz w:val="24"/>
            <w:szCs w:val="24"/>
            <w:u w:val="single"/>
          </w:rPr>
          <w:t>https://www.journalism.org/2019/03/26/for-local-news-americans-embrace-digital-but-still-want-strong-community-connection/</w:t>
        </w:r>
      </w:hyperlink>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Gonzalez, Sarah. “Christie: No Proof Climate Change Caused Sandy.” </w:t>
      </w:r>
      <w:r>
        <w:rPr>
          <w:rFonts w:ascii="Times New Roman" w:eastAsia="Times New Roman" w:hAnsi="Times New Roman" w:cs="Times New Roman"/>
          <w:i/>
          <w:sz w:val="24"/>
          <w:szCs w:val="24"/>
        </w:rPr>
        <w:t>WNYC</w:t>
      </w:r>
      <w:r>
        <w:rPr>
          <w:rFonts w:ascii="Times New Roman" w:eastAsia="Times New Roman" w:hAnsi="Times New Roman" w:cs="Times New Roman"/>
          <w:sz w:val="24"/>
          <w:szCs w:val="24"/>
        </w:rPr>
        <w:t xml:space="preserve">, 20 May 2013, </w:t>
      </w:r>
      <w:hyperlink r:id="rId86">
        <w:r>
          <w:rPr>
            <w:rFonts w:ascii="Times New Roman" w:eastAsia="Times New Roman" w:hAnsi="Times New Roman" w:cs="Times New Roman"/>
            <w:color w:val="1155CC"/>
            <w:sz w:val="24"/>
            <w:szCs w:val="24"/>
            <w:u w:val="single"/>
          </w:rPr>
          <w:t>https://www.wnyc.org/story/294306-gov-christie-rejects-nj-transit-needed-prepare-climate-change-ahead-sandy/</w:t>
        </w:r>
      </w:hyperlink>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Greco, Albert. </w:t>
      </w:r>
      <w:r>
        <w:rPr>
          <w:rFonts w:ascii="Times New Roman" w:eastAsia="Times New Roman" w:hAnsi="Times New Roman" w:cs="Times New Roman"/>
          <w:i/>
          <w:sz w:val="24"/>
          <w:szCs w:val="24"/>
        </w:rPr>
        <w:t>The Economics of the Publishing and Information Industries: The Search for Yield in a Disintermediated World</w:t>
      </w:r>
      <w:r>
        <w:rPr>
          <w:rFonts w:ascii="Times New Roman" w:eastAsia="Times New Roman" w:hAnsi="Times New Roman" w:cs="Times New Roman"/>
          <w:sz w:val="24"/>
          <w:szCs w:val="24"/>
        </w:rPr>
        <w:t>. Routledge, 2014.</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Haughney, Christine, and Brian Stelter. “Hurricane Sandy Sends News Media Scrambling.”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 xml:space="preserve">, 31 Oct. 2012, </w:t>
      </w:r>
      <w:hyperlink r:id="rId87">
        <w:r>
          <w:rPr>
            <w:rFonts w:ascii="Times New Roman" w:eastAsia="Times New Roman" w:hAnsi="Times New Roman" w:cs="Times New Roman"/>
            <w:color w:val="1155CC"/>
            <w:sz w:val="24"/>
            <w:szCs w:val="24"/>
            <w:u w:val="single"/>
          </w:rPr>
          <w:t>https://www.nytimes.com/2012/10/31/business/media/hurricane-sandy-sends-news-media-scrambling.html</w:t>
        </w:r>
      </w:hyperlink>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Hentz, Daniel. “The State of Climate Change Coverage: An Analysis.” </w:t>
      </w:r>
      <w:r>
        <w:rPr>
          <w:rFonts w:ascii="Times New Roman" w:eastAsia="Times New Roman" w:hAnsi="Times New Roman" w:cs="Times New Roman"/>
          <w:i/>
          <w:sz w:val="24"/>
          <w:szCs w:val="24"/>
        </w:rPr>
        <w:t>Columbia Journalism Review</w:t>
      </w:r>
      <w:r>
        <w:rPr>
          <w:rFonts w:ascii="Times New Roman" w:eastAsia="Times New Roman" w:hAnsi="Times New Roman" w:cs="Times New Roman"/>
          <w:sz w:val="24"/>
          <w:szCs w:val="24"/>
        </w:rPr>
        <w:t xml:space="preserve">, 17 Dec. 2018, </w:t>
      </w:r>
      <w:hyperlink r:id="rId88">
        <w:r>
          <w:rPr>
            <w:rFonts w:ascii="Times New Roman" w:eastAsia="Times New Roman" w:hAnsi="Times New Roman" w:cs="Times New Roman"/>
            <w:color w:val="1155CC"/>
            <w:sz w:val="24"/>
            <w:szCs w:val="24"/>
            <w:u w:val="single"/>
          </w:rPr>
          <w:t>https://www.cjr.org/analysis/how-well-do-we-cover-climate-change-an-analysis.php</w:t>
        </w:r>
      </w:hyperlink>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“Hurricane Sandy Fast Facts.” </w:t>
      </w:r>
      <w:r>
        <w:rPr>
          <w:rFonts w:ascii="Times New Roman" w:eastAsia="Times New Roman" w:hAnsi="Times New Roman" w:cs="Times New Roman"/>
          <w:i/>
          <w:sz w:val="24"/>
          <w:szCs w:val="24"/>
        </w:rPr>
        <w:t>CNN</w:t>
      </w:r>
      <w:r>
        <w:rPr>
          <w:rFonts w:ascii="Times New Roman" w:eastAsia="Times New Roman" w:hAnsi="Times New Roman" w:cs="Times New Roman"/>
          <w:sz w:val="24"/>
          <w:szCs w:val="24"/>
        </w:rPr>
        <w:t xml:space="preserve">, 29 Oct. 2018, </w:t>
      </w:r>
      <w:hyperlink r:id="rId89">
        <w:r>
          <w:rPr>
            <w:rFonts w:ascii="Times New Roman" w:eastAsia="Times New Roman" w:hAnsi="Times New Roman" w:cs="Times New Roman"/>
            <w:color w:val="1155CC"/>
            <w:sz w:val="24"/>
            <w:szCs w:val="24"/>
            <w:u w:val="single"/>
          </w:rPr>
          <w:t>https://edition.cnn.com/2013/07/13/world/americas/hurricane-sandy-fast-facts/index.html</w:t>
        </w:r>
      </w:hyperlink>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Irfan, Umair. “Americans Are Worried about Climate Change — but Don’t Want to Pay Much to Fix It.” </w:t>
      </w:r>
      <w:r>
        <w:rPr>
          <w:rFonts w:ascii="Times New Roman" w:eastAsia="Times New Roman" w:hAnsi="Times New Roman" w:cs="Times New Roman"/>
          <w:i/>
          <w:sz w:val="24"/>
          <w:szCs w:val="24"/>
        </w:rPr>
        <w:t>Vox</w:t>
      </w:r>
      <w:r>
        <w:rPr>
          <w:rFonts w:ascii="Times New Roman" w:eastAsia="Times New Roman" w:hAnsi="Times New Roman" w:cs="Times New Roman"/>
          <w:sz w:val="24"/>
          <w:szCs w:val="24"/>
        </w:rPr>
        <w:t xml:space="preserve">, 28 Jan. 2019, </w:t>
      </w:r>
      <w:hyperlink r:id="rId90">
        <w:r>
          <w:rPr>
            <w:rFonts w:ascii="Times New Roman" w:eastAsia="Times New Roman" w:hAnsi="Times New Roman" w:cs="Times New Roman"/>
            <w:color w:val="1155CC"/>
            <w:sz w:val="24"/>
            <w:szCs w:val="24"/>
            <w:u w:val="single"/>
          </w:rPr>
          <w:t>https://www.vox.com/2019/1/28/18197262/climate-change-poll-public-opinion-carbon-tax</w:t>
        </w:r>
      </w:hyperlink>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Iyengar, Shanto, and Donald R. Kinder. </w:t>
      </w:r>
      <w:r>
        <w:rPr>
          <w:rFonts w:ascii="Times New Roman" w:eastAsia="Times New Roman" w:hAnsi="Times New Roman" w:cs="Times New Roman"/>
          <w:i/>
          <w:sz w:val="24"/>
          <w:szCs w:val="24"/>
        </w:rPr>
        <w:t>News That Matters</w:t>
      </w:r>
      <w:r>
        <w:rPr>
          <w:rFonts w:ascii="Times New Roman" w:eastAsia="Times New Roman" w:hAnsi="Times New Roman" w:cs="Times New Roman"/>
          <w:sz w:val="24"/>
          <w:szCs w:val="24"/>
        </w:rPr>
        <w:t>. U of Chicago, 1987.</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Kahn, Brian. “Superstorm Sandy and Sea Level Rise | NOAA Climate.gov.” </w:t>
      </w:r>
      <w:r>
        <w:rPr>
          <w:rFonts w:ascii="Times New Roman" w:eastAsia="Times New Roman" w:hAnsi="Times New Roman" w:cs="Times New Roman"/>
          <w:i/>
          <w:sz w:val="24"/>
          <w:szCs w:val="24"/>
        </w:rPr>
        <w:t>NOAA Climate.gov</w:t>
      </w:r>
      <w:r>
        <w:rPr>
          <w:rFonts w:ascii="Times New Roman" w:eastAsia="Times New Roman" w:hAnsi="Times New Roman" w:cs="Times New Roman"/>
          <w:sz w:val="24"/>
          <w:szCs w:val="24"/>
        </w:rPr>
        <w:t>, 5 Nov. 2012, https://www.climate.gov/news-features/features/superstorm-sandy-and-sea-level-rise.</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Kitzinger, Jenny, and Jacquie Reilly. “The Rise and </w:t>
      </w:r>
      <w:proofErr w:type="gramStart"/>
      <w:r>
        <w:rPr>
          <w:rFonts w:ascii="Times New Roman" w:eastAsia="Times New Roman" w:hAnsi="Times New Roman" w:cs="Times New Roman"/>
          <w:sz w:val="24"/>
          <w:szCs w:val="24"/>
        </w:rPr>
        <w:t>Fall</w:t>
      </w:r>
      <w:proofErr w:type="gramEnd"/>
      <w:r>
        <w:rPr>
          <w:rFonts w:ascii="Times New Roman" w:eastAsia="Times New Roman" w:hAnsi="Times New Roman" w:cs="Times New Roman"/>
          <w:sz w:val="24"/>
          <w:szCs w:val="24"/>
        </w:rPr>
        <w:t xml:space="preserve"> of Risk Reporting: Media Coverage of Human Genetics Research, `False Memory Syndrome’ and `Mad Cow Disease’.” </w:t>
      </w:r>
      <w:r>
        <w:rPr>
          <w:rFonts w:ascii="Times New Roman" w:eastAsia="Times New Roman" w:hAnsi="Times New Roman" w:cs="Times New Roman"/>
          <w:i/>
          <w:sz w:val="24"/>
          <w:szCs w:val="24"/>
        </w:rPr>
        <w:t>The European Journal of Communication</w:t>
      </w:r>
      <w:r>
        <w:rPr>
          <w:rFonts w:ascii="Times New Roman" w:eastAsia="Times New Roman" w:hAnsi="Times New Roman" w:cs="Times New Roman"/>
          <w:sz w:val="24"/>
          <w:szCs w:val="24"/>
        </w:rPr>
        <w:t>, vol. 12, no. 3, Sept. 1997, pp. 319–50.</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Kraft, Michael E. “Risk Perception and the Politics of Citizen Participation: The Case of Radioactive Waste Management.” </w:t>
      </w:r>
      <w:r>
        <w:rPr>
          <w:rFonts w:ascii="Times New Roman" w:eastAsia="Times New Roman" w:hAnsi="Times New Roman" w:cs="Times New Roman"/>
          <w:i/>
          <w:sz w:val="24"/>
          <w:szCs w:val="24"/>
        </w:rPr>
        <w:t>The Analysis, Communication, and Perception of Risk</w:t>
      </w:r>
      <w:r>
        <w:rPr>
          <w:rFonts w:ascii="Times New Roman" w:eastAsia="Times New Roman" w:hAnsi="Times New Roman" w:cs="Times New Roman"/>
          <w:sz w:val="24"/>
          <w:szCs w:val="24"/>
        </w:rPr>
        <w:t>, 1991, pp. 105–17.</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Krosnick, Jon A., et al. “The Origins and Consequences of Democratic Citizens’ Policy Agendas: A Study of Popular Concern </w:t>
      </w:r>
      <w:proofErr w:type="gramStart"/>
      <w:r>
        <w:rPr>
          <w:rFonts w:ascii="Times New Roman" w:eastAsia="Times New Roman" w:hAnsi="Times New Roman" w:cs="Times New Roman"/>
          <w:sz w:val="24"/>
          <w:szCs w:val="24"/>
        </w:rPr>
        <w:t>About</w:t>
      </w:r>
      <w:proofErr w:type="gramEnd"/>
      <w:r>
        <w:rPr>
          <w:rFonts w:ascii="Times New Roman" w:eastAsia="Times New Roman" w:hAnsi="Times New Roman" w:cs="Times New Roman"/>
          <w:sz w:val="24"/>
          <w:szCs w:val="24"/>
        </w:rPr>
        <w:t xml:space="preserve"> Global Warming.” </w:t>
      </w:r>
      <w:r>
        <w:rPr>
          <w:rFonts w:ascii="Times New Roman" w:eastAsia="Times New Roman" w:hAnsi="Times New Roman" w:cs="Times New Roman"/>
          <w:i/>
          <w:sz w:val="24"/>
          <w:szCs w:val="24"/>
        </w:rPr>
        <w:t>Climatic Change</w:t>
      </w:r>
      <w:r>
        <w:rPr>
          <w:rFonts w:ascii="Times New Roman" w:eastAsia="Times New Roman" w:hAnsi="Times New Roman" w:cs="Times New Roman"/>
          <w:sz w:val="24"/>
          <w:szCs w:val="24"/>
        </w:rPr>
        <w:t>, vol. 77, no. 1, Aug. 2006, pp. 7–43.</w:t>
      </w:r>
    </w:p>
    <w:p w:rsidR="00C30C8B" w:rsidRDefault="00C30C8B">
      <w:pPr>
        <w:rPr>
          <w:rFonts w:ascii="Times New Roman" w:eastAsia="Times New Roman" w:hAnsi="Times New Roman" w:cs="Times New Roman"/>
          <w:sz w:val="24"/>
          <w:szCs w:val="24"/>
        </w:rPr>
      </w:pPr>
    </w:p>
    <w:p w:rsidR="00C30C8B" w:rsidRPr="001E516C" w:rsidRDefault="001E516C">
      <w:pPr>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rPr>
        <w:t xml:space="preserve">Lakshmanan, Indira A. R. “Finally Some Good News: Trust in News Is Up, Especially for Local Media.” </w:t>
      </w:r>
      <w:r w:rsidRPr="001E516C">
        <w:rPr>
          <w:rFonts w:ascii="Times New Roman" w:eastAsia="Times New Roman" w:hAnsi="Times New Roman" w:cs="Times New Roman"/>
          <w:i/>
          <w:sz w:val="24"/>
          <w:szCs w:val="24"/>
          <w:lang w:val="de-DE"/>
        </w:rPr>
        <w:t>Poynter</w:t>
      </w:r>
      <w:r w:rsidRPr="001E516C">
        <w:rPr>
          <w:rFonts w:ascii="Times New Roman" w:eastAsia="Times New Roman" w:hAnsi="Times New Roman" w:cs="Times New Roman"/>
          <w:sz w:val="24"/>
          <w:szCs w:val="24"/>
          <w:lang w:val="de-DE"/>
        </w:rPr>
        <w:t>, 22 Aug. 2018, https://www.poynter.org/ethics-trust/2018/finally-some-good-news-trust-in-news-is-up-especially-for-local-media/.</w:t>
      </w:r>
    </w:p>
    <w:p w:rsidR="00C30C8B" w:rsidRPr="001E516C" w:rsidRDefault="00C30C8B">
      <w:pPr>
        <w:rPr>
          <w:rFonts w:ascii="Times New Roman" w:eastAsia="Times New Roman" w:hAnsi="Times New Roman" w:cs="Times New Roman"/>
          <w:sz w:val="24"/>
          <w:szCs w:val="24"/>
          <w:lang w:val="de-DE"/>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Leiserowitz, Anthony A. “Before and after the Day after Tomorrow: A US Study of Climate Change Risk Perception.” </w:t>
      </w:r>
      <w:r>
        <w:rPr>
          <w:rFonts w:ascii="Times New Roman" w:eastAsia="Times New Roman" w:hAnsi="Times New Roman" w:cs="Times New Roman"/>
          <w:i/>
          <w:sz w:val="24"/>
          <w:szCs w:val="24"/>
        </w:rPr>
        <w:t>Environment Science and Policy for Sustainable Development</w:t>
      </w:r>
      <w:r>
        <w:rPr>
          <w:rFonts w:ascii="Times New Roman" w:eastAsia="Times New Roman" w:hAnsi="Times New Roman" w:cs="Times New Roman"/>
          <w:sz w:val="24"/>
          <w:szCs w:val="24"/>
        </w:rPr>
        <w:t>, vol. 46, no. 9, Nov. 2004, pp. 22–44.</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Lorenzoni, Irene, and Nick F. Pidgeon. “Public Views on Climate Change: European and USA Perspectives.” </w:t>
      </w:r>
    </w:p>
    <w:p w:rsidR="00C30C8B" w:rsidRDefault="001E516C">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Climatic Change</w:t>
      </w:r>
      <w:r>
        <w:rPr>
          <w:rFonts w:ascii="Times New Roman" w:eastAsia="Times New Roman" w:hAnsi="Times New Roman" w:cs="Times New Roman"/>
          <w:sz w:val="24"/>
          <w:szCs w:val="24"/>
        </w:rPr>
        <w:t>, vol. 77, no. 1–2, July 2006, pp. 73–95.</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Malthouse, Edward C., and Bobby J. Calder. “Demographics of Newspaper Readership: Predictors and Patterns of U.S. Consumption.” </w:t>
      </w:r>
      <w:r>
        <w:rPr>
          <w:rFonts w:ascii="Times New Roman" w:eastAsia="Times New Roman" w:hAnsi="Times New Roman" w:cs="Times New Roman"/>
          <w:i/>
          <w:sz w:val="24"/>
          <w:szCs w:val="24"/>
        </w:rPr>
        <w:t>Journal of Media Business Studies</w:t>
      </w:r>
      <w:r>
        <w:rPr>
          <w:rFonts w:ascii="Times New Roman" w:eastAsia="Times New Roman" w:hAnsi="Times New Roman" w:cs="Times New Roman"/>
          <w:sz w:val="24"/>
          <w:szCs w:val="24"/>
        </w:rPr>
        <w:t>, vol. 3, no. 1, Jan. 2006, pp. 1–18.</w:t>
      </w:r>
    </w:p>
    <w:p w:rsidR="00C30C8B" w:rsidRDefault="00C30C8B">
      <w:pPr>
        <w:rPr>
          <w:rFonts w:ascii="Times New Roman" w:eastAsia="Times New Roman" w:hAnsi="Times New Roman" w:cs="Times New Roman"/>
          <w:i/>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i/>
          <w:sz w:val="24"/>
          <w:szCs w:val="24"/>
        </w:rPr>
        <w:t>Managing the Risks of Extreme Events and Disasters to Advance Climate Change Adaptation</w:t>
      </w:r>
      <w:r>
        <w:rPr>
          <w:rFonts w:ascii="Times New Roman" w:eastAsia="Times New Roman" w:hAnsi="Times New Roman" w:cs="Times New Roman"/>
          <w:sz w:val="24"/>
          <w:szCs w:val="24"/>
        </w:rPr>
        <w:t>. Intergovernmental Panel on Climate Change, June 2012, https://www.ipcc.ch/site/assets/uploads/2018/03/SREX_Full_Report-1.pdf.</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“Maxwell Boykoff.” </w:t>
      </w:r>
      <w:r>
        <w:rPr>
          <w:rFonts w:ascii="Times New Roman" w:eastAsia="Times New Roman" w:hAnsi="Times New Roman" w:cs="Times New Roman"/>
          <w:i/>
          <w:sz w:val="24"/>
          <w:szCs w:val="24"/>
        </w:rPr>
        <w:t>University of Colorado Boulder Environmental Studies Program</w:t>
      </w:r>
      <w:r>
        <w:rPr>
          <w:rFonts w:ascii="Times New Roman" w:eastAsia="Times New Roman" w:hAnsi="Times New Roman" w:cs="Times New Roman"/>
          <w:sz w:val="24"/>
          <w:szCs w:val="24"/>
        </w:rPr>
        <w:t>, 18 Nov. 2015, https://www.colorado.edu/envs/maxwell-boykoff.</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McCright, Aaron M., and Riley E. Dunlap. “Defeating Kyoto: The Conservative Movement’s Impact on U.S. Climate Change Policy.” </w:t>
      </w:r>
      <w:r>
        <w:rPr>
          <w:rFonts w:ascii="Times New Roman" w:eastAsia="Times New Roman" w:hAnsi="Times New Roman" w:cs="Times New Roman"/>
          <w:i/>
          <w:sz w:val="24"/>
          <w:szCs w:val="24"/>
        </w:rPr>
        <w:t>Social Problems</w:t>
      </w:r>
      <w:r>
        <w:rPr>
          <w:rFonts w:ascii="Times New Roman" w:eastAsia="Times New Roman" w:hAnsi="Times New Roman" w:cs="Times New Roman"/>
          <w:sz w:val="24"/>
          <w:szCs w:val="24"/>
        </w:rPr>
        <w:t>, vol. 50, no. 3, Sept. 2003, pp. 348–73.</w:t>
      </w:r>
    </w:p>
    <w:p w:rsidR="00C30C8B" w:rsidRDefault="00C30C8B">
      <w:pPr>
        <w:rPr>
          <w:rFonts w:ascii="Times New Roman" w:eastAsia="Times New Roman" w:hAnsi="Times New Roman" w:cs="Times New Roman"/>
          <w:sz w:val="24"/>
          <w:szCs w:val="24"/>
        </w:rPr>
      </w:pPr>
    </w:p>
    <w:p w:rsidR="00C30C8B" w:rsidRPr="001E516C" w:rsidRDefault="001E516C">
      <w:pPr>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rPr>
        <w:t xml:space="preserve">Meyer, Ava. “Factbox: Five Deadliest Hurricanes as Toll from Hurricane Maria Raised.” </w:t>
      </w:r>
      <w:r w:rsidRPr="001E516C">
        <w:rPr>
          <w:rFonts w:ascii="Times New Roman" w:eastAsia="Times New Roman" w:hAnsi="Times New Roman" w:cs="Times New Roman"/>
          <w:i/>
          <w:sz w:val="24"/>
          <w:szCs w:val="24"/>
          <w:lang w:val="de-DE"/>
        </w:rPr>
        <w:t>Reuters</w:t>
      </w:r>
      <w:r w:rsidRPr="001E516C">
        <w:rPr>
          <w:rFonts w:ascii="Times New Roman" w:eastAsia="Times New Roman" w:hAnsi="Times New Roman" w:cs="Times New Roman"/>
          <w:sz w:val="24"/>
          <w:szCs w:val="24"/>
          <w:lang w:val="de-DE"/>
        </w:rPr>
        <w:t>, 29 Aug. 2018, https://www.reuters.com/article/us-usa-puertorico-maria-hurricanes-factb-idUSKCN1LE1G6.</w:t>
      </w:r>
    </w:p>
    <w:p w:rsidR="00C30C8B" w:rsidRPr="001E516C" w:rsidRDefault="00C30C8B">
      <w:pPr>
        <w:rPr>
          <w:rFonts w:ascii="Times New Roman" w:eastAsia="Times New Roman" w:hAnsi="Times New Roman" w:cs="Times New Roman"/>
          <w:sz w:val="24"/>
          <w:szCs w:val="24"/>
          <w:lang w:val="de-DE"/>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Mirkinson, Jack. “Sandy Shoves Everything Else Off The Media Agenda.” </w:t>
      </w:r>
      <w:r>
        <w:rPr>
          <w:rFonts w:ascii="Times New Roman" w:eastAsia="Times New Roman" w:hAnsi="Times New Roman" w:cs="Times New Roman"/>
          <w:i/>
          <w:sz w:val="24"/>
          <w:szCs w:val="24"/>
        </w:rPr>
        <w:t>HuffPost</w:t>
      </w:r>
      <w:r>
        <w:rPr>
          <w:rFonts w:ascii="Times New Roman" w:eastAsia="Times New Roman" w:hAnsi="Times New Roman" w:cs="Times New Roman"/>
          <w:sz w:val="24"/>
          <w:szCs w:val="24"/>
        </w:rPr>
        <w:t>, 29 Oct. 2012, https://www.huffpost.com/entry/hurricane-sandy-coverage-media-superstorm_n_2037762.</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Mitchell, Amy, et al. “People </w:t>
      </w:r>
      <w:proofErr w:type="gramStart"/>
      <w:r>
        <w:rPr>
          <w:rFonts w:ascii="Times New Roman" w:eastAsia="Times New Roman" w:hAnsi="Times New Roman" w:cs="Times New Roman"/>
          <w:sz w:val="24"/>
          <w:szCs w:val="24"/>
        </w:rPr>
        <w:t>Around</w:t>
      </w:r>
      <w:proofErr w:type="gramEnd"/>
      <w:r>
        <w:rPr>
          <w:rFonts w:ascii="Times New Roman" w:eastAsia="Times New Roman" w:hAnsi="Times New Roman" w:cs="Times New Roman"/>
          <w:sz w:val="24"/>
          <w:szCs w:val="24"/>
        </w:rPr>
        <w:t xml:space="preserve"> World Want Unbiased News.” </w:t>
      </w:r>
      <w:r>
        <w:rPr>
          <w:rFonts w:ascii="Times New Roman" w:eastAsia="Times New Roman" w:hAnsi="Times New Roman" w:cs="Times New Roman"/>
          <w:i/>
          <w:sz w:val="24"/>
          <w:szCs w:val="24"/>
        </w:rPr>
        <w:t>Pew Research Center</w:t>
      </w:r>
      <w:r>
        <w:rPr>
          <w:rFonts w:ascii="Times New Roman" w:eastAsia="Times New Roman" w:hAnsi="Times New Roman" w:cs="Times New Roman"/>
          <w:sz w:val="24"/>
          <w:szCs w:val="24"/>
        </w:rPr>
        <w:t>, 11 Jan. 2018, https://www.pewglobal.org/2018/01/11/publics-globally-want-unbiased-news-coverage-but-are-divided-on-whether-their-news-media-deliver/.</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Moos, Julie. “New York Times Circulation up 40% as Newspaper Numbers Generally Flat.” </w:t>
      </w:r>
      <w:r>
        <w:rPr>
          <w:rFonts w:ascii="Times New Roman" w:eastAsia="Times New Roman" w:hAnsi="Times New Roman" w:cs="Times New Roman"/>
          <w:i/>
          <w:sz w:val="24"/>
          <w:szCs w:val="24"/>
        </w:rPr>
        <w:t>Poynter</w:t>
      </w:r>
      <w:r>
        <w:rPr>
          <w:rFonts w:ascii="Times New Roman" w:eastAsia="Times New Roman" w:hAnsi="Times New Roman" w:cs="Times New Roman"/>
          <w:sz w:val="24"/>
          <w:szCs w:val="24"/>
        </w:rPr>
        <w:t>, 30 Oct. 2012, https://www.poynter.org/reporting-editing/2012/new-york-times-circulation-up-40-as-newspaper-growth-generally-flat/.</w:t>
      </w:r>
    </w:p>
    <w:p w:rsidR="00C30C8B" w:rsidRDefault="00C30C8B">
      <w:pPr>
        <w:rPr>
          <w:rFonts w:ascii="Times New Roman" w:eastAsia="Times New Roman" w:hAnsi="Times New Roman" w:cs="Times New Roman"/>
          <w:sz w:val="24"/>
          <w:szCs w:val="24"/>
        </w:rPr>
      </w:pPr>
    </w:p>
    <w:p w:rsidR="00C30C8B" w:rsidRDefault="001E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Nisbet, Matthew, et al. "Knowledge, Reservations, or Promise? A Media Effects Model for Public Perceptions of </w:t>
      </w:r>
    </w:p>
    <w:p w:rsidR="00C30C8B" w:rsidRDefault="001E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Science and Technology." </w:t>
      </w:r>
      <w:r>
        <w:rPr>
          <w:rFonts w:ascii="Times New Roman" w:eastAsia="Times New Roman" w:hAnsi="Times New Roman" w:cs="Times New Roman"/>
          <w:i/>
          <w:sz w:val="24"/>
          <w:szCs w:val="24"/>
        </w:rPr>
        <w:t>Communication Research</w:t>
      </w:r>
      <w:r>
        <w:rPr>
          <w:rFonts w:ascii="Times New Roman" w:eastAsia="Times New Roman" w:hAnsi="Times New Roman" w:cs="Times New Roman"/>
          <w:sz w:val="24"/>
          <w:szCs w:val="24"/>
        </w:rPr>
        <w:t xml:space="preserve">, vol. 29, no. 5, Oct. 2002, pp. 584-608. </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NYS Executive Chamber. </w:t>
      </w:r>
      <w:r>
        <w:rPr>
          <w:rFonts w:ascii="Times New Roman" w:eastAsia="Times New Roman" w:hAnsi="Times New Roman" w:cs="Times New Roman"/>
          <w:i/>
          <w:sz w:val="24"/>
          <w:szCs w:val="24"/>
        </w:rPr>
        <w:t>NYS Governor Cuomo: Hurricane Sandy Is “Wake-Up Call” on Extreme Weather &amp; Climate Change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2012</w:t>
      </w:r>
      <w:proofErr w:type="gramEnd"/>
      <w:r>
        <w:rPr>
          <w:rFonts w:ascii="Times New Roman" w:eastAsia="Times New Roman" w:hAnsi="Times New Roman" w:cs="Times New Roman"/>
          <w:sz w:val="24"/>
          <w:szCs w:val="24"/>
        </w:rPr>
        <w:t>, https://www.youtube.com/watch?v=xqZCW2XhKHc.</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“Obama Signs $50.5B Superstorm Sandy Aid Bill - CBS News.” </w:t>
      </w:r>
      <w:r>
        <w:rPr>
          <w:rFonts w:ascii="Times New Roman" w:eastAsia="Times New Roman" w:hAnsi="Times New Roman" w:cs="Times New Roman"/>
          <w:i/>
          <w:sz w:val="24"/>
          <w:szCs w:val="24"/>
        </w:rPr>
        <w:t>CBS News</w:t>
      </w:r>
      <w:r>
        <w:rPr>
          <w:rFonts w:ascii="Times New Roman" w:eastAsia="Times New Roman" w:hAnsi="Times New Roman" w:cs="Times New Roman"/>
          <w:sz w:val="24"/>
          <w:szCs w:val="24"/>
        </w:rPr>
        <w:t>, https://www.cbsnews.com/news/obama-signs-505b-superstorm-sandy-aid-bill/.</w:t>
      </w:r>
    </w:p>
    <w:p w:rsidR="00C30C8B" w:rsidRDefault="00C30C8B">
      <w:pPr>
        <w:rPr>
          <w:rFonts w:ascii="Times New Roman" w:eastAsia="Times New Roman" w:hAnsi="Times New Roman" w:cs="Times New Roman"/>
          <w:sz w:val="24"/>
          <w:szCs w:val="24"/>
        </w:rPr>
      </w:pPr>
    </w:p>
    <w:p w:rsidR="00C30C8B" w:rsidRPr="001E516C" w:rsidRDefault="001E516C">
      <w:pPr>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rPr>
        <w:t xml:space="preserve">Russ, Hilary. “New York Lays out $20 Billion Plan to Adapt to Climate Change.” </w:t>
      </w:r>
      <w:r w:rsidRPr="001E516C">
        <w:rPr>
          <w:rFonts w:ascii="Times New Roman" w:eastAsia="Times New Roman" w:hAnsi="Times New Roman" w:cs="Times New Roman"/>
          <w:i/>
          <w:sz w:val="24"/>
          <w:szCs w:val="24"/>
          <w:lang w:val="de-DE"/>
        </w:rPr>
        <w:t>Reuters</w:t>
      </w:r>
      <w:r w:rsidRPr="001E516C">
        <w:rPr>
          <w:rFonts w:ascii="Times New Roman" w:eastAsia="Times New Roman" w:hAnsi="Times New Roman" w:cs="Times New Roman"/>
          <w:sz w:val="24"/>
          <w:szCs w:val="24"/>
          <w:lang w:val="de-DE"/>
        </w:rPr>
        <w:t>, 12 June 2013, https://www.reuters.com/article/us-climate-newyork-plan/new-york-lays-out-20-billion-plan-to-adapt-to-climate-change-idUSBRE95A10120130612.</w:t>
      </w:r>
    </w:p>
    <w:p w:rsidR="00C30C8B" w:rsidRPr="001E516C" w:rsidRDefault="00C30C8B">
      <w:pPr>
        <w:rPr>
          <w:rFonts w:ascii="Times New Roman" w:eastAsia="Times New Roman" w:hAnsi="Times New Roman" w:cs="Times New Roman"/>
          <w:sz w:val="24"/>
          <w:szCs w:val="24"/>
          <w:lang w:val="de-DE"/>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Sampei, Yuki, and Midori Aoyagi-Usui. “Mass-Media Coverage, Its Influence on Public Awareness of Climate-Change Issues, and Implications for Japan’s National Campaign to Reduce Greenhouse Gas Emissions.” </w:t>
      </w:r>
      <w:r>
        <w:rPr>
          <w:rFonts w:ascii="Times New Roman" w:eastAsia="Times New Roman" w:hAnsi="Times New Roman" w:cs="Times New Roman"/>
          <w:i/>
          <w:sz w:val="24"/>
          <w:szCs w:val="24"/>
        </w:rPr>
        <w:t>Development and Society</w:t>
      </w:r>
      <w:r>
        <w:rPr>
          <w:rFonts w:ascii="Times New Roman" w:eastAsia="Times New Roman" w:hAnsi="Times New Roman" w:cs="Times New Roman"/>
          <w:sz w:val="24"/>
          <w:szCs w:val="24"/>
        </w:rPr>
        <w:t>, vol. 43, no. 2, Dec. 2014, pp. 207–17.</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Schwartz, John. “Global Warming Concerns Rise Among Americans in New Poll.”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 22 Jan. 2019, https://www.nytimes.com/2019/01/22/climate/americans-global-warming-poll.html.</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Smith, Nicholas W., and Helene Joffe. “Climate Change in the British Press: The Role of the Visual.” </w:t>
      </w:r>
      <w:r>
        <w:rPr>
          <w:rFonts w:ascii="Times New Roman" w:eastAsia="Times New Roman" w:hAnsi="Times New Roman" w:cs="Times New Roman"/>
          <w:i/>
          <w:sz w:val="24"/>
          <w:szCs w:val="24"/>
        </w:rPr>
        <w:t>Journal of Risk Research</w:t>
      </w:r>
      <w:r>
        <w:rPr>
          <w:rFonts w:ascii="Times New Roman" w:eastAsia="Times New Roman" w:hAnsi="Times New Roman" w:cs="Times New Roman"/>
          <w:sz w:val="24"/>
          <w:szCs w:val="24"/>
        </w:rPr>
        <w:t>, vol. 12, no. 5, July 2009, pp. 647–63.</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Stocking, H., Leonard, J.P., “The greening of the media.” </w:t>
      </w:r>
      <w:r>
        <w:rPr>
          <w:rFonts w:ascii="Times New Roman" w:eastAsia="Times New Roman" w:hAnsi="Times New Roman" w:cs="Times New Roman"/>
          <w:i/>
          <w:sz w:val="24"/>
          <w:szCs w:val="24"/>
        </w:rPr>
        <w:t>Columbia Journalism Review</w:t>
      </w:r>
      <w:r>
        <w:rPr>
          <w:rFonts w:ascii="Times New Roman" w:eastAsia="Times New Roman" w:hAnsi="Times New Roman" w:cs="Times New Roman"/>
          <w:sz w:val="24"/>
          <w:szCs w:val="24"/>
        </w:rPr>
        <w:t>, 1990, pp. 37–44.</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Trenberth, Kevin E., et al. “Attribution of Climate Extreme Events.” </w:t>
      </w:r>
      <w:r>
        <w:rPr>
          <w:rFonts w:ascii="Times New Roman" w:eastAsia="Times New Roman" w:hAnsi="Times New Roman" w:cs="Times New Roman"/>
          <w:i/>
          <w:sz w:val="24"/>
          <w:szCs w:val="24"/>
        </w:rPr>
        <w:t>Nature Climate Change</w:t>
      </w:r>
      <w:r>
        <w:rPr>
          <w:rFonts w:ascii="Times New Roman" w:eastAsia="Times New Roman" w:hAnsi="Times New Roman" w:cs="Times New Roman"/>
          <w:sz w:val="24"/>
          <w:szCs w:val="24"/>
        </w:rPr>
        <w:t>, vol. 5, no. 8, Aug. 2015, pp. 725–30.</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Ungar, Sheldon. “The Rise and (Relative) Decline of Global Warming as a Social Problem.” </w:t>
      </w:r>
      <w:r>
        <w:rPr>
          <w:rFonts w:ascii="Times New Roman" w:eastAsia="Times New Roman" w:hAnsi="Times New Roman" w:cs="Times New Roman"/>
          <w:i/>
          <w:sz w:val="24"/>
          <w:szCs w:val="24"/>
        </w:rPr>
        <w:t>The Sociological Quarterly</w:t>
      </w:r>
      <w:r>
        <w:rPr>
          <w:rFonts w:ascii="Times New Roman" w:eastAsia="Times New Roman" w:hAnsi="Times New Roman" w:cs="Times New Roman"/>
          <w:sz w:val="24"/>
          <w:szCs w:val="24"/>
        </w:rPr>
        <w:t xml:space="preserve">, vol. 33, no. 4, </w:t>
      </w:r>
      <w:proofErr w:type="gramStart"/>
      <w:r>
        <w:rPr>
          <w:rFonts w:ascii="Times New Roman" w:eastAsia="Times New Roman" w:hAnsi="Times New Roman" w:cs="Times New Roman"/>
          <w:sz w:val="24"/>
          <w:szCs w:val="24"/>
        </w:rPr>
        <w:t>Winter</w:t>
      </w:r>
      <w:proofErr w:type="gramEnd"/>
      <w:r>
        <w:rPr>
          <w:rFonts w:ascii="Times New Roman" w:eastAsia="Times New Roman" w:hAnsi="Times New Roman" w:cs="Times New Roman"/>
          <w:sz w:val="24"/>
          <w:szCs w:val="24"/>
        </w:rPr>
        <w:t xml:space="preserve"> 1992, pp. 483–501.</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the Local News Dynamics in Your City?” </w:t>
      </w:r>
      <w:r>
        <w:rPr>
          <w:rFonts w:ascii="Times New Roman" w:eastAsia="Times New Roman" w:hAnsi="Times New Roman" w:cs="Times New Roman"/>
          <w:i/>
          <w:sz w:val="24"/>
          <w:szCs w:val="24"/>
        </w:rPr>
        <w:t>Pew Research Center</w:t>
      </w:r>
      <w:r>
        <w:rPr>
          <w:rFonts w:ascii="Times New Roman" w:eastAsia="Times New Roman" w:hAnsi="Times New Roman" w:cs="Times New Roman"/>
          <w:sz w:val="24"/>
          <w:szCs w:val="24"/>
        </w:rPr>
        <w:t>, 25 Mar. 2019, https://www.pewresearch.org/fact-tank/2019/03/26/explore-local-news-habits-in-your-city-with-our-new-interactive/pj_2019-03-26_local-news_0-09/.</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Caleb Symons</w:t>
      </w:r>
      <w:r>
        <w:rPr>
          <w:rFonts w:ascii="Times New Roman" w:eastAsia="Times New Roman" w:hAnsi="Times New Roman" w:cs="Times New Roman"/>
          <w:sz w:val="24"/>
          <w:szCs w:val="24"/>
        </w:rPr>
        <w:t xml:space="preserve"> is a senior at Tufts University, studying political science and international relations. He has served as a reporter and editor for Tufts' student newspaper, </w:t>
      </w:r>
      <w:r>
        <w:rPr>
          <w:rFonts w:ascii="Times New Roman" w:eastAsia="Times New Roman" w:hAnsi="Times New Roman" w:cs="Times New Roman"/>
          <w:i/>
          <w:sz w:val="24"/>
          <w:szCs w:val="24"/>
        </w:rPr>
        <w:t>The Tufts Daily</w:t>
      </w:r>
      <w:r>
        <w:rPr>
          <w:rFonts w:ascii="Times New Roman" w:eastAsia="Times New Roman" w:hAnsi="Times New Roman" w:cs="Times New Roman"/>
          <w:sz w:val="24"/>
          <w:szCs w:val="24"/>
        </w:rPr>
        <w:t>, and plans to pursue professional journalism after graduation.</w:t>
      </w:r>
    </w:p>
    <w:p w:rsidR="00C30C8B" w:rsidRDefault="00C30C8B">
      <w:pPr>
        <w:rPr>
          <w:rFonts w:ascii="Times New Roman" w:eastAsia="Times New Roman" w:hAnsi="Times New Roman" w:cs="Times New Roman"/>
          <w:sz w:val="24"/>
          <w:szCs w:val="24"/>
        </w:rPr>
      </w:pPr>
    </w:p>
    <w:p w:rsidR="00C30C8B" w:rsidRDefault="00C30C8B">
      <w:pPr>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Is Social Media Compatible with Deweyan Democracy? </w:t>
      </w:r>
    </w:p>
    <w:p w:rsidR="00C30C8B" w:rsidRDefault="00C30C8B">
      <w:pPr>
        <w:rPr>
          <w:rFonts w:ascii="Times New Roman" w:eastAsia="Times New Roman" w:hAnsi="Times New Roman" w:cs="Times New Roman"/>
          <w:b/>
          <w:sz w:val="24"/>
          <w:szCs w:val="24"/>
        </w:rPr>
      </w:pPr>
    </w:p>
    <w:p w:rsidR="00C30C8B" w:rsidRDefault="00C30C8B">
      <w:pPr>
        <w:jc w:val="cente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Jason Goldfarb, University of Vermont, Burlington, VT, United States of America</w:t>
      </w:r>
    </w:p>
    <w:p w:rsidR="00C30C8B" w:rsidRDefault="00C30C8B">
      <w:pPr>
        <w:rPr>
          <w:rFonts w:ascii="Times New Roman" w:eastAsia="Times New Roman" w:hAnsi="Times New Roman" w:cs="Times New Roman"/>
          <w:sz w:val="24"/>
          <w:szCs w:val="24"/>
        </w:rPr>
      </w:pPr>
    </w:p>
    <w:p w:rsidR="00C30C8B" w:rsidRDefault="00C30C8B">
      <w:pPr>
        <w:rPr>
          <w:rFonts w:ascii="Times New Roman" w:eastAsia="Times New Roman" w:hAnsi="Times New Roman" w:cs="Times New Roman"/>
          <w:b/>
          <w:sz w:val="24"/>
          <w:szCs w:val="24"/>
        </w:rPr>
      </w:pPr>
    </w:p>
    <w:p w:rsidR="00C30C8B" w:rsidRDefault="001E51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Dewey believed that communication was vital to a well-functioning democracy. </w:t>
      </w:r>
      <w:r>
        <w:rPr>
          <w:rFonts w:ascii="Times New Roman" w:eastAsia="Times New Roman" w:hAnsi="Times New Roman" w:cs="Times New Roman"/>
          <w:i/>
          <w:sz w:val="24"/>
          <w:szCs w:val="24"/>
        </w:rPr>
        <w:t xml:space="preserve">The Public and Its Problems </w:t>
      </w:r>
      <w:r>
        <w:rPr>
          <w:rFonts w:ascii="Times New Roman" w:eastAsia="Times New Roman" w:hAnsi="Times New Roman" w:cs="Times New Roman"/>
          <w:sz w:val="24"/>
          <w:szCs w:val="24"/>
        </w:rPr>
        <w:t xml:space="preserve">(1927) </w:t>
      </w:r>
      <w:proofErr w:type="gramStart"/>
      <w:r>
        <w:rPr>
          <w:rFonts w:ascii="Times New Roman" w:eastAsia="Times New Roman" w:hAnsi="Times New Roman" w:cs="Times New Roman"/>
          <w:sz w:val="24"/>
          <w:szCs w:val="24"/>
        </w:rPr>
        <w:t>was written</w:t>
      </w:r>
      <w:proofErr w:type="gramEnd"/>
      <w:r>
        <w:rPr>
          <w:rFonts w:ascii="Times New Roman" w:eastAsia="Times New Roman" w:hAnsi="Times New Roman" w:cs="Times New Roman"/>
          <w:sz w:val="24"/>
          <w:szCs w:val="24"/>
        </w:rPr>
        <w:t xml:space="preserve"> during a period of massive technological advancement that strained existing democratic institutions. Yet, America persisted in the Industrial Age. Now, a new threat looms—</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probably in your pocket right now. Social media allows for rapid communication and dissemination of ideas at the click of a button. This has great potential as a democratizing force in society, but also poses a grave danger to American democracy. By comparing Deweyan democracy with the technological advances of the Internet Age, this paper explores the challenges that social media poses to American politics. It evaluates social media’s compatibility with American democracy, and discusses possible solutions for a society distracted by their screens.</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 xml:space="preserve">John Dewey, social media, polarization, distraction, privacy, GAFA, Big Tech, data, algorithms, </w:t>
      </w:r>
      <w:proofErr w:type="gramStart"/>
      <w:r>
        <w:rPr>
          <w:rFonts w:ascii="Times New Roman" w:eastAsia="Times New Roman" w:hAnsi="Times New Roman" w:cs="Times New Roman"/>
          <w:sz w:val="24"/>
          <w:szCs w:val="24"/>
        </w:rPr>
        <w:t>echo-chambers</w:t>
      </w:r>
      <w:proofErr w:type="gramEnd"/>
      <w:r>
        <w:rPr>
          <w:rFonts w:ascii="Times New Roman" w:eastAsia="Times New Roman" w:hAnsi="Times New Roman" w:cs="Times New Roman"/>
          <w:sz w:val="24"/>
          <w:szCs w:val="24"/>
        </w:rPr>
        <w:t xml:space="preserve"> </w:t>
      </w:r>
    </w:p>
    <w:p w:rsidR="00C30C8B" w:rsidRDefault="00C30C8B">
      <w:pPr>
        <w:spacing w:line="480" w:lineRule="auto"/>
        <w:jc w:val="center"/>
        <w:rPr>
          <w:rFonts w:ascii="Times New Roman" w:eastAsia="Times New Roman" w:hAnsi="Times New Roman" w:cs="Times New Roman"/>
          <w:sz w:val="24"/>
          <w:szCs w:val="24"/>
        </w:rPr>
      </w:pPr>
    </w:p>
    <w:p w:rsidR="00C30C8B" w:rsidRDefault="00C30C8B">
      <w:pPr>
        <w:spacing w:line="480" w:lineRule="auto"/>
        <w:jc w:val="center"/>
        <w:rPr>
          <w:rFonts w:ascii="Times New Roman" w:eastAsia="Times New Roman" w:hAnsi="Times New Roman" w:cs="Times New Roman"/>
          <w:sz w:val="24"/>
          <w:szCs w:val="24"/>
        </w:rPr>
      </w:pPr>
    </w:p>
    <w:p w:rsidR="00C30C8B" w:rsidRDefault="00C30C8B">
      <w:pPr>
        <w:spacing w:line="480" w:lineRule="auto"/>
        <w:jc w:val="center"/>
        <w:rPr>
          <w:rFonts w:ascii="Times New Roman" w:eastAsia="Times New Roman" w:hAnsi="Times New Roman" w:cs="Times New Roman"/>
          <w:sz w:val="24"/>
          <w:szCs w:val="24"/>
        </w:rPr>
      </w:pPr>
    </w:p>
    <w:p w:rsidR="00C30C8B" w:rsidRDefault="00C30C8B">
      <w:pPr>
        <w:spacing w:line="480" w:lineRule="auto"/>
        <w:jc w:val="center"/>
        <w:rPr>
          <w:rFonts w:ascii="Times New Roman" w:eastAsia="Times New Roman" w:hAnsi="Times New Roman" w:cs="Times New Roman"/>
          <w:sz w:val="24"/>
          <w:szCs w:val="24"/>
        </w:rPr>
      </w:pPr>
    </w:p>
    <w:p w:rsidR="00C30C8B" w:rsidRDefault="00C30C8B">
      <w:pPr>
        <w:spacing w:line="480" w:lineRule="auto"/>
        <w:jc w:val="center"/>
        <w:rPr>
          <w:rFonts w:ascii="Times New Roman" w:eastAsia="Times New Roman" w:hAnsi="Times New Roman" w:cs="Times New Roman"/>
          <w:sz w:val="24"/>
          <w:szCs w:val="24"/>
        </w:rPr>
      </w:pPr>
    </w:p>
    <w:p w:rsidR="00C30C8B" w:rsidRDefault="00C30C8B">
      <w:pPr>
        <w:spacing w:line="480" w:lineRule="auto"/>
        <w:jc w:val="center"/>
        <w:rPr>
          <w:rFonts w:ascii="Times New Roman" w:eastAsia="Times New Roman" w:hAnsi="Times New Roman" w:cs="Times New Roman"/>
          <w:sz w:val="24"/>
          <w:szCs w:val="24"/>
        </w:rPr>
      </w:pPr>
    </w:p>
    <w:p w:rsidR="00C30C8B" w:rsidRDefault="00C30C8B">
      <w:pPr>
        <w:spacing w:line="480" w:lineRule="auto"/>
        <w:jc w:val="center"/>
        <w:rPr>
          <w:rFonts w:ascii="Times New Roman" w:eastAsia="Times New Roman" w:hAnsi="Times New Roman" w:cs="Times New Roman"/>
          <w:sz w:val="24"/>
          <w:szCs w:val="24"/>
        </w:rPr>
      </w:pPr>
    </w:p>
    <w:p w:rsidR="00C30C8B" w:rsidRDefault="00C30C8B">
      <w:pPr>
        <w:spacing w:line="480" w:lineRule="auto"/>
        <w:jc w:val="center"/>
        <w:rPr>
          <w:rFonts w:ascii="Times New Roman" w:eastAsia="Times New Roman" w:hAnsi="Times New Roman" w:cs="Times New Roman"/>
          <w:sz w:val="24"/>
          <w:szCs w:val="24"/>
        </w:rPr>
      </w:pPr>
    </w:p>
    <w:p w:rsidR="001E516C" w:rsidRDefault="001E516C">
      <w:pPr>
        <w:spacing w:line="480" w:lineRule="auto"/>
        <w:jc w:val="center"/>
        <w:rPr>
          <w:rFonts w:ascii="Times New Roman" w:eastAsia="Times New Roman" w:hAnsi="Times New Roman" w:cs="Times New Roman"/>
          <w:sz w:val="24"/>
          <w:szCs w:val="24"/>
        </w:rPr>
      </w:pPr>
    </w:p>
    <w:p w:rsidR="00C30C8B" w:rsidRDefault="00C30C8B">
      <w:pPr>
        <w:spacing w:line="480" w:lineRule="auto"/>
        <w:jc w:val="center"/>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1E516C">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Introduction</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The Public and its Problems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was published</w:t>
      </w:r>
      <w:proofErr w:type="gramEnd"/>
      <w:r>
        <w:rPr>
          <w:rFonts w:ascii="Times New Roman" w:eastAsia="Times New Roman" w:hAnsi="Times New Roman" w:cs="Times New Roman"/>
          <w:sz w:val="24"/>
          <w:szCs w:val="24"/>
        </w:rPr>
        <w:t xml:space="preserve"> in 1927, after the devastation that was sustained during World War I. John Dewey supported the United States in the so-called War to End All Wars, but was deeply troubled by its outcome and the subsequent global backlash against liberal democracy in the interwar period. At the same time, America was becoming America: immigrants were bringing new cultures to the eastern shores, African Americans were migrating out of the South, and industrialization was pushing citizens out of the farmhouse and into the urban cityscape. In the midst of these rapid and disorienting changes, Dewey was optimistic about the future of democracy. Though the public </w:t>
      </w:r>
      <w:proofErr w:type="gramStart"/>
      <w:r>
        <w:rPr>
          <w:rFonts w:ascii="Times New Roman" w:eastAsia="Times New Roman" w:hAnsi="Times New Roman" w:cs="Times New Roman"/>
          <w:sz w:val="24"/>
          <w:szCs w:val="24"/>
        </w:rPr>
        <w:t>was distracted</w:t>
      </w:r>
      <w:proofErr w:type="gramEnd"/>
      <w:r>
        <w:rPr>
          <w:rFonts w:ascii="Times New Roman" w:eastAsia="Times New Roman" w:hAnsi="Times New Roman" w:cs="Times New Roman"/>
          <w:sz w:val="24"/>
          <w:szCs w:val="24"/>
        </w:rPr>
        <w:t xml:space="preserve"> by newfound machinery, he believed that technology also had the potential to enhance democracy. The technological advances of the machine age could revolutionize communication among the public. For Dewey, communication was the hallmark of democracy. A deliberating public would create a </w:t>
      </w:r>
      <w:proofErr w:type="gramStart"/>
      <w:r>
        <w:rPr>
          <w:rFonts w:ascii="Times New Roman" w:eastAsia="Times New Roman" w:hAnsi="Times New Roman" w:cs="Times New Roman"/>
          <w:sz w:val="24"/>
          <w:szCs w:val="24"/>
        </w:rPr>
        <w:t>more perfect</w:t>
      </w:r>
      <w:proofErr w:type="gramEnd"/>
      <w:r>
        <w:rPr>
          <w:rFonts w:ascii="Times New Roman" w:eastAsia="Times New Roman" w:hAnsi="Times New Roman" w:cs="Times New Roman"/>
          <w:sz w:val="24"/>
          <w:szCs w:val="24"/>
        </w:rPr>
        <w:t xml:space="preserve"> union, allowing communities to prosper and politics to be meaningful.</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Dewey was writing at a time when communication occurred through telegraph lines and radio waves. Now, over nine decades later, technology </w:t>
      </w:r>
      <w:proofErr w:type="gramStart"/>
      <w:r>
        <w:rPr>
          <w:rFonts w:ascii="Times New Roman" w:eastAsia="Times New Roman" w:hAnsi="Times New Roman" w:cs="Times New Roman"/>
          <w:sz w:val="24"/>
          <w:szCs w:val="24"/>
        </w:rPr>
        <w:t>has again been completely transformed</w:t>
      </w:r>
      <w:proofErr w:type="gramEnd"/>
      <w:r>
        <w:rPr>
          <w:rFonts w:ascii="Times New Roman" w:eastAsia="Times New Roman" w:hAnsi="Times New Roman" w:cs="Times New Roman"/>
          <w:sz w:val="24"/>
          <w:szCs w:val="24"/>
        </w:rPr>
        <w:t xml:space="preserve">. Social media not only facilitates interpersonal communication, but it permits anyone with internet access to speak to the world. In theory, this allows for conversation and the spread of ideas with the click of a button. Access to political discussion and debate is not just for political elites; social media gives every citizen a voice. Social media can act as a democratizing force in society, but it may also pose a grave danger to American democracy. For the price of polarization, it allows citizens to discuss ideas on a global scale. Individually curated social media feeds can create polarizing </w:t>
      </w:r>
      <w:proofErr w:type="gramStart"/>
      <w:r>
        <w:rPr>
          <w:rFonts w:ascii="Times New Roman" w:eastAsia="Times New Roman" w:hAnsi="Times New Roman" w:cs="Times New Roman"/>
          <w:sz w:val="24"/>
          <w:szCs w:val="24"/>
        </w:rPr>
        <w:t>echo-chambers</w:t>
      </w:r>
      <w:proofErr w:type="gramEnd"/>
      <w:r>
        <w:rPr>
          <w:rFonts w:ascii="Times New Roman" w:eastAsia="Times New Roman" w:hAnsi="Times New Roman" w:cs="Times New Roman"/>
          <w:sz w:val="24"/>
          <w:szCs w:val="24"/>
        </w:rPr>
        <w:t xml:space="preserve">, fragmenting the public and generating political disillusionment. Furthermore, Big Tech firms “aspire to mold humanity in their desired image of it,” and hence destroy the “possibility of contemplation” (Foer, 2018, pp. 10, 15). Algorithms put in place by Big </w:t>
      </w:r>
      <w:r>
        <w:rPr>
          <w:rFonts w:ascii="Times New Roman" w:eastAsia="Times New Roman" w:hAnsi="Times New Roman" w:cs="Times New Roman"/>
          <w:sz w:val="24"/>
          <w:szCs w:val="24"/>
        </w:rPr>
        <w:lastRenderedPageBreak/>
        <w:t>Tech firms rely on data from user accounts. This data automates human thinking by allowing companies to display what they think users want to see. This shifts power away from individuals and gives tech companies command over cogitation.</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comparing Deweyan democracy with the technological advances of the Internet Age, this paper will examine a critical question of this generation: is social media compatible with American democracy?</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Dewey’s Vision of Democratic Society</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America was “developed out of genuine community life” with a deliberating local public at its center (Dewey, 1927, p. 111). As these publics developed, states emerged to serve their citizens and individuals </w:t>
      </w:r>
      <w:proofErr w:type="gramStart"/>
      <w:r>
        <w:rPr>
          <w:rFonts w:ascii="Times New Roman" w:eastAsia="Times New Roman" w:hAnsi="Times New Roman" w:cs="Times New Roman"/>
          <w:sz w:val="24"/>
          <w:szCs w:val="24"/>
        </w:rPr>
        <w:t>were recognized</w:t>
      </w:r>
      <w:proofErr w:type="gramEnd"/>
      <w:r>
        <w:rPr>
          <w:rFonts w:ascii="Times New Roman" w:eastAsia="Times New Roman" w:hAnsi="Times New Roman" w:cs="Times New Roman"/>
          <w:sz w:val="24"/>
          <w:szCs w:val="24"/>
        </w:rPr>
        <w:t xml:space="preserve"> as the fundamental unit of government. At the center of this public-turned-state is the community. This is a defining feature of a well-functioning democracy: without mutual bonds, communities are merely collections of individuals living in close proximity to one another. Dewey </w:t>
      </w:r>
      <w:proofErr w:type="gramStart"/>
      <w:r>
        <w:rPr>
          <w:rFonts w:ascii="Times New Roman" w:eastAsia="Times New Roman" w:hAnsi="Times New Roman" w:cs="Times New Roman"/>
          <w:sz w:val="24"/>
          <w:szCs w:val="24"/>
        </w:rPr>
        <w:t>argued that</w:t>
      </w:r>
      <w:proofErr w:type="gramEnd"/>
      <w:r>
        <w:rPr>
          <w:rFonts w:ascii="Times New Roman" w:eastAsia="Times New Roman" w:hAnsi="Times New Roman" w:cs="Times New Roman"/>
          <w:sz w:val="24"/>
          <w:szCs w:val="24"/>
        </w:rPr>
        <w:t xml:space="preserve"> “democracy is not an alternative to other principles of associated life. It is the idea of community life itself” (Dewey, 1927, p. 148). Through self-governance, a community is able to respond to meet the challenges of the era. Democratic participation strengthens communities as citizens decide the conditions of their association. However, Dewey </w:t>
      </w:r>
      <w:proofErr w:type="gramStart"/>
      <w:r>
        <w:rPr>
          <w:rFonts w:ascii="Times New Roman" w:eastAsia="Times New Roman" w:hAnsi="Times New Roman" w:cs="Times New Roman"/>
          <w:sz w:val="24"/>
          <w:szCs w:val="24"/>
        </w:rPr>
        <w:t>cautioned that</w:t>
      </w:r>
      <w:proofErr w:type="gramEnd"/>
      <w:r>
        <w:rPr>
          <w:rFonts w:ascii="Times New Roman" w:eastAsia="Times New Roman" w:hAnsi="Times New Roman" w:cs="Times New Roman"/>
          <w:sz w:val="24"/>
          <w:szCs w:val="24"/>
        </w:rPr>
        <w:t xml:space="preserve"> “communication alone can create a Great Community” (Dewey, 1927, p. 142). Technology has the potential to facilitate this communication among the populace, but Dewey was anxious about the place of machines in his democratic vision.</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Dewey considered Americans </w:t>
      </w:r>
      <w:proofErr w:type="gramStart"/>
      <w:r>
        <w:rPr>
          <w:rFonts w:ascii="Times New Roman" w:eastAsia="Times New Roman" w:hAnsi="Times New Roman" w:cs="Times New Roman"/>
          <w:sz w:val="24"/>
          <w:szCs w:val="24"/>
        </w:rPr>
        <w:t>to be apathetic</w:t>
      </w:r>
      <w:proofErr w:type="gramEnd"/>
      <w:r>
        <w:rPr>
          <w:rFonts w:ascii="Times New Roman" w:eastAsia="Times New Roman" w:hAnsi="Times New Roman" w:cs="Times New Roman"/>
          <w:sz w:val="24"/>
          <w:szCs w:val="24"/>
        </w:rPr>
        <w:t xml:space="preserve"> to democracy in the Industrial Age. At America’s inception, voters personally knew their elected representatives, they sent trusted officials to the Electoral College, and were politically aware. Dewey saw this society as a relic of a bygone era, and </w:t>
      </w:r>
      <w:proofErr w:type="gramStart"/>
      <w:r>
        <w:rPr>
          <w:rFonts w:ascii="Times New Roman" w:eastAsia="Times New Roman" w:hAnsi="Times New Roman" w:cs="Times New Roman"/>
          <w:sz w:val="24"/>
          <w:szCs w:val="24"/>
        </w:rPr>
        <w:t>remarked that</w:t>
      </w:r>
      <w:proofErr w:type="gramEnd"/>
      <w:r>
        <w:rPr>
          <w:rFonts w:ascii="Times New Roman" w:eastAsia="Times New Roman" w:hAnsi="Times New Roman" w:cs="Times New Roman"/>
          <w:sz w:val="24"/>
          <w:szCs w:val="24"/>
        </w:rPr>
        <w:t xml:space="preserve"> “there was a time when a man might entertain a few general political principles and apply them with some confidence”</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(Dewey, 1927, p. 142). </w:t>
      </w: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with the </w:t>
      </w:r>
      <w:r>
        <w:rPr>
          <w:rFonts w:ascii="Times New Roman" w:eastAsia="Times New Roman" w:hAnsi="Times New Roman" w:cs="Times New Roman"/>
          <w:sz w:val="24"/>
          <w:szCs w:val="24"/>
        </w:rPr>
        <w:lastRenderedPageBreak/>
        <w:t xml:space="preserve">advent of mass communication, people and ideas could be exchanged at an alarming rate. Political discussions could take place simultaneously all throughout the country, instead of taking days or weeks for newspapers to traverse from coast to coast. Dewey thought this would cause political integration and lead to the elimination of distance. Technology created “social and intellectual uniformity” among Americans (Dewey, 1927, p. 115). These new forms of communication effectively condensed the size of the republic, but at the same time, voters became indifferent. Voters lacked efficacy and were skeptical of political activity due to the immense amount of information available. Technology was overwhelming, as the public received political news from the radio, newspapers, and the cinema. </w:t>
      </w:r>
      <w:proofErr w:type="gramStart"/>
      <w:r>
        <w:rPr>
          <w:rFonts w:ascii="Times New Roman" w:eastAsia="Times New Roman" w:hAnsi="Times New Roman" w:cs="Times New Roman"/>
          <w:sz w:val="24"/>
          <w:szCs w:val="24"/>
        </w:rPr>
        <w:t>With all of the information assaulting voters’ senses, it was easier to retreat to the private sphere and abstain from voting altogether.</w:t>
      </w:r>
      <w:proofErr w:type="gramEnd"/>
      <w:r>
        <w:rPr>
          <w:rFonts w:ascii="Times New Roman" w:eastAsia="Times New Roman" w:hAnsi="Times New Roman" w:cs="Times New Roman"/>
          <w:sz w:val="24"/>
          <w:szCs w:val="24"/>
        </w:rPr>
        <w:t xml:space="preserve"> However, Dewey was not a </w:t>
      </w:r>
      <w:proofErr w:type="gramStart"/>
      <w:r>
        <w:rPr>
          <w:rFonts w:ascii="Times New Roman" w:eastAsia="Times New Roman" w:hAnsi="Times New Roman" w:cs="Times New Roman"/>
          <w:sz w:val="24"/>
          <w:szCs w:val="24"/>
        </w:rPr>
        <w:t>luddite</w:t>
      </w:r>
      <w:proofErr w:type="gramEnd"/>
      <w:r>
        <w:rPr>
          <w:rFonts w:ascii="Times New Roman" w:eastAsia="Times New Roman" w:hAnsi="Times New Roman" w:cs="Times New Roman"/>
          <w:sz w:val="24"/>
          <w:szCs w:val="24"/>
        </w:rPr>
        <w:t>. He saw the potential for technology in democracy but thought its initial integration into society would be difficult.</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Technology provides individual freedom but weakens community as it distracts from important political issues. At a time of immense technological transformation in America, John Dewey observed that “the Great Society created by steam and electricity may be a society, but it is no community. The invasion of the community by the new and relatively impersonal and mechanical modes of combined human behavior is the outstanding fact of modern life” (Dewey, 1927, p. 98). The telephone shrank the size of the country by connecting its users, the automobile led to quick and easy transportation of goods and people, and the radio allowed for mass dissemination of ideas across distances. Technology compresses </w:t>
      </w:r>
      <w:proofErr w:type="gramStart"/>
      <w:r>
        <w:rPr>
          <w:rFonts w:ascii="Times New Roman" w:eastAsia="Times New Roman" w:hAnsi="Times New Roman" w:cs="Times New Roman"/>
          <w:sz w:val="24"/>
          <w:szCs w:val="24"/>
        </w:rPr>
        <w:t>society</w:t>
      </w:r>
      <w:proofErr w:type="gramEnd"/>
      <w:r>
        <w:rPr>
          <w:rFonts w:ascii="Times New Roman" w:eastAsia="Times New Roman" w:hAnsi="Times New Roman" w:cs="Times New Roman"/>
          <w:sz w:val="24"/>
          <w:szCs w:val="24"/>
        </w:rPr>
        <w:t xml:space="preserve"> as it grows interconnected. For example, new forms of mass media directed national attention to local issues. A worker's strike at a textile mill in New England </w:t>
      </w:r>
      <w:proofErr w:type="gramStart"/>
      <w:r>
        <w:rPr>
          <w:rFonts w:ascii="Times New Roman" w:eastAsia="Times New Roman" w:hAnsi="Times New Roman" w:cs="Times New Roman"/>
          <w:sz w:val="24"/>
          <w:szCs w:val="24"/>
        </w:rPr>
        <w:t>would immediately be known</w:t>
      </w:r>
      <w:proofErr w:type="gramEnd"/>
      <w:r>
        <w:rPr>
          <w:rFonts w:ascii="Times New Roman" w:eastAsia="Times New Roman" w:hAnsi="Times New Roman" w:cs="Times New Roman"/>
          <w:sz w:val="24"/>
          <w:szCs w:val="24"/>
        </w:rPr>
        <w:t xml:space="preserve"> throughout the country. Rail workers in the West could hear of the strike at the same instant as bankers in New York City. There was an interconnectivity among the public created through technological </w:t>
      </w:r>
      <w:r>
        <w:rPr>
          <w:rFonts w:ascii="Times New Roman" w:eastAsia="Times New Roman" w:hAnsi="Times New Roman" w:cs="Times New Roman"/>
          <w:sz w:val="24"/>
          <w:szCs w:val="24"/>
        </w:rPr>
        <w:lastRenderedPageBreak/>
        <w:t xml:space="preserve">advancement. For a deliberating public, these modes of interaction would be invaluable. However, Dewey saw these technologies as detracting from democratic participation. As technologies permeated through communities, they contributed to an impersonal society. Instead of forming opinions on complex issues such as tax policy and gerrymandering, citizens </w:t>
      </w:r>
      <w:proofErr w:type="gramStart"/>
      <w:r>
        <w:rPr>
          <w:rFonts w:ascii="Times New Roman" w:eastAsia="Times New Roman" w:hAnsi="Times New Roman" w:cs="Times New Roman"/>
          <w:sz w:val="24"/>
          <w:szCs w:val="24"/>
        </w:rPr>
        <w:t>were distracted</w:t>
      </w:r>
      <w:proofErr w:type="gramEnd"/>
      <w:r>
        <w:rPr>
          <w:rFonts w:ascii="Times New Roman" w:eastAsia="Times New Roman" w:hAnsi="Times New Roman" w:cs="Times New Roman"/>
          <w:sz w:val="24"/>
          <w:szCs w:val="24"/>
        </w:rPr>
        <w:t xml:space="preserve"> by trivial amusements like movies and the radio. These technologies were in their infancy in Dewey’s time, and he had trouble reconciling new forms of entertainment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with the benefits of a connected and informed public. Adapting new forms of communication would be difficult in a society that had been relatively local for most of its history. Dewey remained optimistic about the prospect for a </w:t>
      </w:r>
      <w:proofErr w:type="gramStart"/>
      <w:r>
        <w:rPr>
          <w:rFonts w:ascii="Times New Roman" w:eastAsia="Times New Roman" w:hAnsi="Times New Roman" w:cs="Times New Roman"/>
          <w:sz w:val="24"/>
          <w:szCs w:val="24"/>
        </w:rPr>
        <w:t>technologically-enhanced</w:t>
      </w:r>
      <w:proofErr w:type="gramEnd"/>
      <w:r>
        <w:rPr>
          <w:rFonts w:ascii="Times New Roman" w:eastAsia="Times New Roman" w:hAnsi="Times New Roman" w:cs="Times New Roman"/>
          <w:sz w:val="24"/>
          <w:szCs w:val="24"/>
        </w:rPr>
        <w:t xml:space="preserve"> democracy, but he was on the precipice of technological advancement.</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Dewey argued that free and open communication would overcome the challenges of the technological era. He </w:t>
      </w:r>
      <w:proofErr w:type="gramStart"/>
      <w:r>
        <w:rPr>
          <w:rFonts w:ascii="Times New Roman" w:eastAsia="Times New Roman" w:hAnsi="Times New Roman" w:cs="Times New Roman"/>
          <w:sz w:val="24"/>
          <w:szCs w:val="24"/>
        </w:rPr>
        <w:t>predicted that</w:t>
      </w:r>
      <w:proofErr w:type="gramEnd"/>
      <w:r>
        <w:rPr>
          <w:rFonts w:ascii="Times New Roman" w:eastAsia="Times New Roman" w:hAnsi="Times New Roman" w:cs="Times New Roman"/>
          <w:sz w:val="24"/>
          <w:szCs w:val="24"/>
        </w:rPr>
        <w:t xml:space="preserve"> “when the machine age has thus perfected its machinery it will be a means of life and not its despotic master”</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(Dewey, 1927, p. 184). Technology not only must allow for the spread of information, but it should also help facilitate serious conversations and spark political debate. With citizens discussing important issues rather than </w:t>
      </w:r>
      <w:proofErr w:type="gramStart"/>
      <w:r>
        <w:rPr>
          <w:rFonts w:ascii="Times New Roman" w:eastAsia="Times New Roman" w:hAnsi="Times New Roman" w:cs="Times New Roman"/>
          <w:sz w:val="24"/>
          <w:szCs w:val="24"/>
        </w:rPr>
        <w:t>being overcome</w:t>
      </w:r>
      <w:proofErr w:type="gramEnd"/>
      <w:r>
        <w:rPr>
          <w:rFonts w:ascii="Times New Roman" w:eastAsia="Times New Roman" w:hAnsi="Times New Roman" w:cs="Times New Roman"/>
          <w:sz w:val="24"/>
          <w:szCs w:val="24"/>
        </w:rPr>
        <w:t xml:space="preserve"> by distractions, democracy would be an effective form of government. However, nearly a century after the publication of his book, this Deweyan communication is an everyday function of American society. Video calls, text messages, and social media enable instant communication from anywhere in the world. In his analysis, this society should have the capabilities to spread ideas and create cohesive dialogue. Technology created an elimination of distance, but did not create political integration.</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III: Social Media and </w:t>
      </w:r>
      <w:proofErr w:type="gramStart"/>
      <w:r>
        <w:rPr>
          <w:rFonts w:ascii="Times New Roman" w:eastAsia="Times New Roman" w:hAnsi="Times New Roman" w:cs="Times New Roman"/>
          <w:b/>
          <w:sz w:val="24"/>
          <w:szCs w:val="24"/>
        </w:rPr>
        <w:t>The</w:t>
      </w:r>
      <w:proofErr w:type="gramEnd"/>
      <w:r>
        <w:rPr>
          <w:rFonts w:ascii="Times New Roman" w:eastAsia="Times New Roman" w:hAnsi="Times New Roman" w:cs="Times New Roman"/>
          <w:b/>
          <w:sz w:val="24"/>
          <w:szCs w:val="24"/>
        </w:rPr>
        <w:t xml:space="preserve"> Great Society?</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a 2018 Pew Research study, 68 percent of American adults use Facebook, and three-quarters of those users check the website daily (Smith and Anderson, 2018). Social media use </w:t>
      </w:r>
      <w:proofErr w:type="gramStart"/>
      <w:r>
        <w:rPr>
          <w:rFonts w:ascii="Times New Roman" w:eastAsia="Times New Roman" w:hAnsi="Times New Roman" w:cs="Times New Roman"/>
          <w:sz w:val="24"/>
          <w:szCs w:val="24"/>
        </w:rPr>
        <w:t>is even more pronounced</w:t>
      </w:r>
      <w:proofErr w:type="gramEnd"/>
      <w:r>
        <w:rPr>
          <w:rFonts w:ascii="Times New Roman" w:eastAsia="Times New Roman" w:hAnsi="Times New Roman" w:cs="Times New Roman"/>
          <w:sz w:val="24"/>
          <w:szCs w:val="24"/>
        </w:rPr>
        <w:t xml:space="preserve"> among younger generations, where 88 percent of people ages 18 to 29 use </w:t>
      </w:r>
      <w:r>
        <w:rPr>
          <w:rFonts w:ascii="Times New Roman" w:eastAsia="Times New Roman" w:hAnsi="Times New Roman" w:cs="Times New Roman"/>
          <w:sz w:val="24"/>
          <w:szCs w:val="24"/>
        </w:rPr>
        <w:lastRenderedPageBreak/>
        <w:t xml:space="preserve">social media (Smith and Anderson, 2018). This has Dewey’s “elimination of distance” effect, and Americans </w:t>
      </w:r>
      <w:proofErr w:type="gramStart"/>
      <w:r>
        <w:rPr>
          <w:rFonts w:ascii="Times New Roman" w:eastAsia="Times New Roman" w:hAnsi="Times New Roman" w:cs="Times New Roman"/>
          <w:sz w:val="24"/>
          <w:szCs w:val="24"/>
        </w:rPr>
        <w:t>are seemingly more connected</w:t>
      </w:r>
      <w:proofErr w:type="gramEnd"/>
      <w:r>
        <w:rPr>
          <w:rFonts w:ascii="Times New Roman" w:eastAsia="Times New Roman" w:hAnsi="Times New Roman" w:cs="Times New Roman"/>
          <w:sz w:val="24"/>
          <w:szCs w:val="24"/>
        </w:rPr>
        <w:t xml:space="preserve"> than ever before (Dewey, 1927, p. 114). Americans have an insatiable hunger for information. Yet this can be detrimental for democracy, as the self-selection of information on social media networks has further divided the republic. </w:t>
      </w:r>
      <w:r>
        <w:rPr>
          <w:rFonts w:ascii="Times New Roman" w:eastAsia="Times New Roman" w:hAnsi="Times New Roman" w:cs="Times New Roman"/>
          <w:sz w:val="24"/>
          <w:szCs w:val="24"/>
          <w:highlight w:val="white"/>
        </w:rPr>
        <w:t xml:space="preserve">Social media is blamed for intensifying polarization due to adaptive algorithms, which can create divisive </w:t>
      </w:r>
      <w:proofErr w:type="gramStart"/>
      <w:r>
        <w:rPr>
          <w:rFonts w:ascii="Times New Roman" w:eastAsia="Times New Roman" w:hAnsi="Times New Roman" w:cs="Times New Roman"/>
          <w:sz w:val="24"/>
          <w:szCs w:val="24"/>
          <w:highlight w:val="white"/>
        </w:rPr>
        <w:t>echo-chambers</w:t>
      </w:r>
      <w:proofErr w:type="gramEnd"/>
      <w:r>
        <w:rPr>
          <w:rFonts w:ascii="Times New Roman" w:eastAsia="Times New Roman" w:hAnsi="Times New Roman" w:cs="Times New Roman"/>
          <w:sz w:val="24"/>
          <w:szCs w:val="24"/>
          <w:highlight w:val="white"/>
        </w:rPr>
        <w:t>.</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Polarization</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Affective polarization is the most visible aspect of a divided America. Democrats and Republicans see each other as hypocritical, selfish, and close-minded, and Americans actively dislike members of the opposite political party. This party animosity </w:t>
      </w:r>
      <w:proofErr w:type="gramStart"/>
      <w:r>
        <w:rPr>
          <w:rFonts w:ascii="Times New Roman" w:eastAsia="Times New Roman" w:hAnsi="Times New Roman" w:cs="Times New Roman"/>
          <w:sz w:val="24"/>
          <w:szCs w:val="24"/>
        </w:rPr>
        <w:t>is known</w:t>
      </w:r>
      <w:proofErr w:type="gramEnd"/>
      <w:r>
        <w:rPr>
          <w:rFonts w:ascii="Times New Roman" w:eastAsia="Times New Roman" w:hAnsi="Times New Roman" w:cs="Times New Roman"/>
          <w:sz w:val="24"/>
          <w:szCs w:val="24"/>
        </w:rPr>
        <w:t xml:space="preserve"> as affective polarization. This occurs regardless of ideological polarization, and is a result of group identity. Group affiliation is a stable and significant aspect of one’s identity, and partisanship is especially powerful (Fishkin and Pozen, 2018). When one identifies with a political party, they begin to view others as members of an in-group, or an out-group, and they tend to feel positively towards members of the in-group, and negatively towards the out-group (Fishkin and Pozen, 2018). Moreover, these feelings intensify the stronger one identifies with their party. Partisanship tends to provoke affective polarization because it </w:t>
      </w:r>
      <w:proofErr w:type="gramStart"/>
      <w:r>
        <w:rPr>
          <w:rFonts w:ascii="Times New Roman" w:eastAsia="Times New Roman" w:hAnsi="Times New Roman" w:cs="Times New Roman"/>
          <w:sz w:val="24"/>
          <w:szCs w:val="24"/>
        </w:rPr>
        <w:t>is acquired</w:t>
      </w:r>
      <w:proofErr w:type="gramEnd"/>
      <w:r>
        <w:rPr>
          <w:rFonts w:ascii="Times New Roman" w:eastAsia="Times New Roman" w:hAnsi="Times New Roman" w:cs="Times New Roman"/>
          <w:sz w:val="24"/>
          <w:szCs w:val="24"/>
        </w:rPr>
        <w:t xml:space="preserve"> at a young age and rarely changes, and political campaigns are a near-constant phenomenon therefore reminding voters of their party affiliation.</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Cass Sunstein, a renowned scholar and professor at Harvard Law School, shows that mere discussion with like-minded groups can strengthen one’s convictions. He cites a 2005 experiment in Colorado where both liberals and conservatives </w:t>
      </w:r>
      <w:proofErr w:type="gramStart"/>
      <w:r>
        <w:rPr>
          <w:rFonts w:ascii="Times New Roman" w:eastAsia="Times New Roman" w:hAnsi="Times New Roman" w:cs="Times New Roman"/>
          <w:sz w:val="24"/>
          <w:szCs w:val="24"/>
        </w:rPr>
        <w:t>were placed</w:t>
      </w:r>
      <w:proofErr w:type="gramEnd"/>
      <w:r>
        <w:rPr>
          <w:rFonts w:ascii="Times New Roman" w:eastAsia="Times New Roman" w:hAnsi="Times New Roman" w:cs="Times New Roman"/>
          <w:sz w:val="24"/>
          <w:szCs w:val="24"/>
        </w:rPr>
        <w:t xml:space="preserve"> in separate groups to discuss issues of same-sex marriage, affirmative action, and climate change. Before the discussion, individuals were asked to anonymously share their opinions, and once again after fifteen minutes of discussion.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“in almost every group, members ended up with more extreme positions after they </w:t>
      </w:r>
      <w:r>
        <w:rPr>
          <w:rFonts w:ascii="Times New Roman" w:eastAsia="Times New Roman" w:hAnsi="Times New Roman" w:cs="Times New Roman"/>
          <w:sz w:val="24"/>
          <w:szCs w:val="24"/>
        </w:rPr>
        <w:lastRenderedPageBreak/>
        <w:t>spoke with one another”</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(Sunstein, 2017, p. 68-69). This group polarization happens in everyday interactions, and </w:t>
      </w:r>
      <w:proofErr w:type="gramStart"/>
      <w:r>
        <w:rPr>
          <w:rFonts w:ascii="Times New Roman" w:eastAsia="Times New Roman" w:hAnsi="Times New Roman" w:cs="Times New Roman"/>
          <w:sz w:val="24"/>
          <w:szCs w:val="24"/>
        </w:rPr>
        <w:t>is exacerbated</w:t>
      </w:r>
      <w:proofErr w:type="gramEnd"/>
      <w:r>
        <w:rPr>
          <w:rFonts w:ascii="Times New Roman" w:eastAsia="Times New Roman" w:hAnsi="Times New Roman" w:cs="Times New Roman"/>
          <w:sz w:val="24"/>
          <w:szCs w:val="24"/>
        </w:rPr>
        <w:t xml:space="preserve"> through social media where viewpoints are selectively filtered. Online, “people are significantly more likely to click on information that reinforces their views, and somewhat less likely to expose themselves to information that contradicts those views”</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(Sunstein, 2017, p. 114). By strengthening one’s viewpoints, common political ground between citizens </w:t>
      </w:r>
      <w:proofErr w:type="gramStart"/>
      <w:r>
        <w:rPr>
          <w:rFonts w:ascii="Times New Roman" w:eastAsia="Times New Roman" w:hAnsi="Times New Roman" w:cs="Times New Roman"/>
          <w:sz w:val="24"/>
          <w:szCs w:val="24"/>
        </w:rPr>
        <w:t>is eroded</w:t>
      </w:r>
      <w:proofErr w:type="gramEnd"/>
      <w:r>
        <w:rPr>
          <w:rFonts w:ascii="Times New Roman" w:eastAsia="Times New Roman" w:hAnsi="Times New Roman" w:cs="Times New Roman"/>
          <w:sz w:val="24"/>
          <w:szCs w:val="24"/>
        </w:rPr>
        <w:t xml:space="preserve">.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media may have the largest effect on affective polarization. The parties not only vote against each other, but members of political parties dislike and distrust one another. They no longer see opposing partisans as legitimate rivals to beat at the ballot box, but rather as fundamental enemies that are dangerous to America. A sense of mutual toleration is critical for a two-party system. This means that political parties must accept electoral defeats with the realization that they may gain power at some point in the future. As a result, they should leave governing to the winner of the election, and </w:t>
      </w:r>
      <w:proofErr w:type="gramStart"/>
      <w:r>
        <w:rPr>
          <w:rFonts w:ascii="Times New Roman" w:eastAsia="Times New Roman" w:hAnsi="Times New Roman" w:cs="Times New Roman"/>
          <w:sz w:val="24"/>
          <w:szCs w:val="24"/>
        </w:rPr>
        <w:t>the out-party</w:t>
      </w:r>
      <w:proofErr w:type="gramEnd"/>
      <w:r>
        <w:rPr>
          <w:rFonts w:ascii="Times New Roman" w:eastAsia="Times New Roman" w:hAnsi="Times New Roman" w:cs="Times New Roman"/>
          <w:sz w:val="24"/>
          <w:szCs w:val="24"/>
        </w:rPr>
        <w:t xml:space="preserve"> should not be one of pure obstruction. Regrettably, these norms </w:t>
      </w:r>
      <w:proofErr w:type="gramStart"/>
      <w:r>
        <w:rPr>
          <w:rFonts w:ascii="Times New Roman" w:eastAsia="Times New Roman" w:hAnsi="Times New Roman" w:cs="Times New Roman"/>
          <w:sz w:val="24"/>
          <w:szCs w:val="24"/>
        </w:rPr>
        <w:t>have not been observed</w:t>
      </w:r>
      <w:proofErr w:type="gramEnd"/>
      <w:r>
        <w:rPr>
          <w:rFonts w:ascii="Times New Roman" w:eastAsia="Times New Roman" w:hAnsi="Times New Roman" w:cs="Times New Roman"/>
          <w:sz w:val="24"/>
          <w:szCs w:val="24"/>
        </w:rPr>
        <w:t xml:space="preserve"> in U.S. politics for some time (Levitsky and Ziblatt, 2018). Social media is a major factor in intensifying affective polarization. A 2015 study by Barberá </w:t>
      </w:r>
      <w:proofErr w:type="gramStart"/>
      <w:r>
        <w:rPr>
          <w:rFonts w:ascii="Times New Roman" w:eastAsia="Times New Roman" w:hAnsi="Times New Roman" w:cs="Times New Roman"/>
          <w:sz w:val="24"/>
          <w:szCs w:val="24"/>
        </w:rPr>
        <w:t>et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w:t>
      </w:r>
      <w:proofErr w:type="gramEnd"/>
      <w:r>
        <w:rPr>
          <w:rFonts w:ascii="Times New Roman" w:eastAsia="Times New Roman" w:hAnsi="Times New Roman" w:cs="Times New Roman"/>
          <w:sz w:val="24"/>
          <w:szCs w:val="24"/>
        </w:rPr>
        <w:t xml:space="preserve">. examined tweets that were sent to members of congress. They found that 25 percent of tweets were incendiary or offensive, and 59 percent were critical of the politician or their policies (Tucker et al., 2018). Social media’s inherent anonymity fuels partisan animosity, and as a result, discussions of politics on social media are often toxic.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political toxicity is partly due to how civic discussions </w:t>
      </w:r>
      <w:proofErr w:type="gramStart"/>
      <w:r>
        <w:rPr>
          <w:rFonts w:ascii="Times New Roman" w:eastAsia="Times New Roman" w:hAnsi="Times New Roman" w:cs="Times New Roman"/>
          <w:sz w:val="24"/>
          <w:szCs w:val="24"/>
        </w:rPr>
        <w:t>are conducted</w:t>
      </w:r>
      <w:proofErr w:type="gramEnd"/>
      <w:r>
        <w:rPr>
          <w:rFonts w:ascii="Times New Roman" w:eastAsia="Times New Roman" w:hAnsi="Times New Roman" w:cs="Times New Roman"/>
          <w:sz w:val="24"/>
          <w:szCs w:val="24"/>
        </w:rPr>
        <w:t xml:space="preserve">. Informal debates are common, whereas structured dialogue is rare. It is much more common to stumble upon partisan content online; it is unusual for users to seek out formal political debates. Moreover, disagreement occurs most often among those with weak ties due to the role of anonymity and lack of context clues, which are ubiquitous on social media platforms. Political discussions on social media have </w:t>
      </w:r>
      <w:r>
        <w:rPr>
          <w:rFonts w:ascii="Times New Roman" w:eastAsia="Times New Roman" w:hAnsi="Times New Roman" w:cs="Times New Roman"/>
          <w:sz w:val="24"/>
          <w:szCs w:val="24"/>
        </w:rPr>
        <w:lastRenderedPageBreak/>
        <w:t xml:space="preserve">led many users to tune out completely. According to data from the Pew Research Center, 37 percent of users surveyed reported feeling “worn out” by political content on their social media feeds (Duggan and Smith, 2016). If citizens ignore the behavior of governing officials, the prospect of self-rule breaks down. For a democracy to function properly, citizens must be vigilant and hold their leaders accountable. For social media to enhance democratic society, it must encourage political participation and active citizenship. Harmful political discussions on social media platforms are dangerous for the future of democracy. As Dewey observed, communication is vital for democracy, and extreme polarization engulfs citizens “in different political universes” (Sunstein, 2017, p. 3). Due to its ubiquity, polarization seems like a psychological truism. However, </w:t>
      </w:r>
      <w:proofErr w:type="gramStart"/>
      <w:r>
        <w:rPr>
          <w:rFonts w:ascii="Times New Roman" w:eastAsia="Times New Roman" w:hAnsi="Times New Roman" w:cs="Times New Roman"/>
          <w:sz w:val="24"/>
          <w:szCs w:val="24"/>
        </w:rPr>
        <w:t>polarization is specifically engineered by Big Tech companies to maximize profit and capitalize on attention</w:t>
      </w:r>
      <w:proofErr w:type="gramEnd"/>
      <w:r>
        <w:rPr>
          <w:rFonts w:ascii="Times New Roman" w:eastAsia="Times New Roman" w:hAnsi="Times New Roman" w:cs="Times New Roman"/>
          <w:sz w:val="24"/>
          <w:szCs w:val="24"/>
        </w:rPr>
        <w:t>.</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Algorithms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Users may believe that they are curating their own feeds, but what they see is largely out of their control. Social media companies use algorithms to display content that they think users might want to see. By employing artificial intelligence, they learn how their users think in order to manipulate their browsing patterns. So, “if the algorithm knows that you like certain kinds of music, it might know, with a high probability, what kinds of movies and books you like, and what political candidates will appeal to you. And if it knows the websites you visit, it might well know what products you’re likely to buy and what you think about climate change and immigration” (Sunstein, 2017, p. 3). This intelligent sorting may seem benign as users encounter a customized digital experience, but this reduces the multiplicity of viewpoints in the electorate.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Algorithms can distort one’s worldview. Predictive algorithms are often convenient for users, as search engines like Google can use autocorrect to display the appropriate search query. However, Carole Cadwalladr argues that this feature is not neutral—it affects what information </w:t>
      </w:r>
      <w:proofErr w:type="gramStart"/>
      <w:r>
        <w:rPr>
          <w:rFonts w:ascii="Times New Roman" w:eastAsia="Times New Roman" w:hAnsi="Times New Roman" w:cs="Times New Roman"/>
          <w:sz w:val="24"/>
          <w:szCs w:val="24"/>
        </w:rPr>
        <w:t>is broadcast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into the world, and can alter user’s beliefs (Cadwalladr, 2016). In her reporting, she found that by typing “did the hol” into a search, Google autocorrected this question to “did the holocaust happen?” The first search result that appeared linked to a neo-Nazi website called Stormfront that denies the historical veracity of the Holocaust. The subsequent results on the page also linked to Holocaust-denial websites. After </w:t>
      </w:r>
      <w:proofErr w:type="gramStart"/>
      <w:r>
        <w:rPr>
          <w:rFonts w:ascii="Times New Roman" w:eastAsia="Times New Roman" w:hAnsi="Times New Roman" w:cs="Times New Roman"/>
          <w:sz w:val="24"/>
          <w:szCs w:val="24"/>
        </w:rPr>
        <w:t>Cadwalladr’s</w:t>
      </w:r>
      <w:proofErr w:type="gramEnd"/>
      <w:r>
        <w:rPr>
          <w:rFonts w:ascii="Times New Roman" w:eastAsia="Times New Roman" w:hAnsi="Times New Roman" w:cs="Times New Roman"/>
          <w:sz w:val="24"/>
          <w:szCs w:val="24"/>
        </w:rPr>
        <w:t xml:space="preserve"> reporting, Google fixed this websearch, yet this issue is much broader than one specific search query. Corporations and “institutions, often without our knowledge or consent, are collecting massive amounts of data about us which can be used and shared in secondary ways that we do not want or expect” (Richards and King, 2014, p. 424). This data collection and prediction </w:t>
      </w:r>
      <w:proofErr w:type="gramStart"/>
      <w:r>
        <w:rPr>
          <w:rFonts w:ascii="Times New Roman" w:eastAsia="Times New Roman" w:hAnsi="Times New Roman" w:cs="Times New Roman"/>
          <w:sz w:val="24"/>
          <w:szCs w:val="24"/>
        </w:rPr>
        <w:t>can be used</w:t>
      </w:r>
      <w:proofErr w:type="gramEnd"/>
      <w:r>
        <w:rPr>
          <w:rFonts w:ascii="Times New Roman" w:eastAsia="Times New Roman" w:hAnsi="Times New Roman" w:cs="Times New Roman"/>
          <w:sz w:val="24"/>
          <w:szCs w:val="24"/>
        </w:rPr>
        <w:t xml:space="preserve"> to poison the well of democracy.</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Internet age, there is simply an “information overload—too many options, too many topics, too many opinions, a cacophony of voices”</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(Sunstein, 2017, p. 63-64). Algorithms try to make sense of the chaos of the internet, yet have unintended consequences for democracy. As Dewey observed nearly a century ago, information overload leads people to surround themselves with viewpoints that they find agreeable, that “do not disturb [their] preexisting view of the world”</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(Sunstein, 2017, p. 64). Social media makes it easy to surround oneself with congenial views.</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Echo Chambers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their pursuit of maximizing engagement, social media’s algorithms can create </w:t>
      </w:r>
      <w:proofErr w:type="gramStart"/>
      <w:r>
        <w:rPr>
          <w:rFonts w:ascii="Times New Roman" w:eastAsia="Times New Roman" w:hAnsi="Times New Roman" w:cs="Times New Roman"/>
          <w:sz w:val="24"/>
          <w:szCs w:val="24"/>
        </w:rPr>
        <w:t>echo-chambers</w:t>
      </w:r>
      <w:proofErr w:type="gramEnd"/>
      <w:r>
        <w:rPr>
          <w:rFonts w:ascii="Times New Roman" w:eastAsia="Times New Roman" w:hAnsi="Times New Roman" w:cs="Times New Roman"/>
          <w:sz w:val="24"/>
          <w:szCs w:val="24"/>
        </w:rPr>
        <w:t xml:space="preserve"> and information cocoons, thereby increasing polarization as citizens only receive information from agreeable sources. Sunstein notes that all forms of interaction, “human beings show ‘homophily’: a strong tendency to connect and bond with people who are like them” (Sunstein, 2017, p. 1). He argues that social media platforms function as a personalized newspaper, where users can control and filter the content that they want to see, effectively reinforcing homophily. </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can be a good thing, for “why would you want topics that bore you and perspectives you despise?” (Sunstein, 2017, p. 3). Social media can create niche communities such </w:t>
      </w:r>
      <w:r>
        <w:rPr>
          <w:rFonts w:ascii="Times New Roman" w:eastAsia="Times New Roman" w:hAnsi="Times New Roman" w:cs="Times New Roman"/>
          <w:sz w:val="24"/>
          <w:szCs w:val="24"/>
        </w:rPr>
        <w:lastRenderedPageBreak/>
        <w:t xml:space="preserve">as groups of pug owners, cyclists, and amateur bakers. These communities </w:t>
      </w:r>
      <w:proofErr w:type="gramStart"/>
      <w:r>
        <w:rPr>
          <w:rFonts w:ascii="Times New Roman" w:eastAsia="Times New Roman" w:hAnsi="Times New Roman" w:cs="Times New Roman"/>
          <w:sz w:val="24"/>
          <w:szCs w:val="24"/>
        </w:rPr>
        <w:t>are not restricted</w:t>
      </w:r>
      <w:proofErr w:type="gramEnd"/>
      <w:r>
        <w:rPr>
          <w:rFonts w:ascii="Times New Roman" w:eastAsia="Times New Roman" w:hAnsi="Times New Roman" w:cs="Times New Roman"/>
          <w:sz w:val="24"/>
          <w:szCs w:val="24"/>
        </w:rPr>
        <w:t xml:space="preserve"> by geographic barriers, and instead draw people together based on their shared interests. However, this becomes problematic when users quarantine themselves into ideological seclusion, thereby strengthening their beliefs without contemplating opposing viewpoints. For example, conservatives are likely to share the ideas and interests of their conservative friends on Facebook, and are less likely to share the views of liberals (Bakshy et al., 2015). With social media, individuals can surround themselves with people who share their convictions.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echo-chamber theory has been criticised as a simplistic view of online behavior that </w:t>
      </w:r>
      <w:proofErr w:type="gramStart"/>
      <w:r>
        <w:rPr>
          <w:rFonts w:ascii="Times New Roman" w:eastAsia="Times New Roman" w:hAnsi="Times New Roman" w:cs="Times New Roman"/>
          <w:sz w:val="24"/>
          <w:szCs w:val="24"/>
        </w:rPr>
        <w:t>is not fully supported</w:t>
      </w:r>
      <w:proofErr w:type="gramEnd"/>
      <w:r>
        <w:rPr>
          <w:rFonts w:ascii="Times New Roman" w:eastAsia="Times New Roman" w:hAnsi="Times New Roman" w:cs="Times New Roman"/>
          <w:sz w:val="24"/>
          <w:szCs w:val="24"/>
        </w:rPr>
        <w:t xml:space="preserve"> by empirical data. Guess et al. argue that the concern over </w:t>
      </w:r>
      <w:proofErr w:type="gramStart"/>
      <w:r>
        <w:rPr>
          <w:rFonts w:ascii="Times New Roman" w:eastAsia="Times New Roman" w:hAnsi="Times New Roman" w:cs="Times New Roman"/>
          <w:sz w:val="24"/>
          <w:szCs w:val="24"/>
        </w:rPr>
        <w:t>echo-chambers</w:t>
      </w:r>
      <w:proofErr w:type="gramEnd"/>
      <w:r>
        <w:rPr>
          <w:rFonts w:ascii="Times New Roman" w:eastAsia="Times New Roman" w:hAnsi="Times New Roman" w:cs="Times New Roman"/>
          <w:sz w:val="24"/>
          <w:szCs w:val="24"/>
        </w:rPr>
        <w:t xml:space="preserve"> is inflated because they only capture a small minority of the public (Guess et al., 2018). They point out three factors to support their claim. First, they contend that users have endless options for content across many mediums. For example, Facebook users browse their newsfeeds for more than just political news—they chat with friends, watch short videos, and laugh at memes. If they get bored, they can stream movies or listen to audiobooks. Political news is only one aspect of a user’s online consumption. Moreover, due to the amount of information available online, users are easily able to seek out diverse opinions. They argue that although people display a preference for congenial information in labs, in practice they tend to seek out alternative views.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 they point out that most people rarely pay attention to political news, or they only tune in at critical moments. They </w:t>
      </w:r>
      <w:proofErr w:type="gramStart"/>
      <w:r>
        <w:rPr>
          <w:rFonts w:ascii="Times New Roman" w:eastAsia="Times New Roman" w:hAnsi="Times New Roman" w:cs="Times New Roman"/>
          <w:sz w:val="24"/>
          <w:szCs w:val="24"/>
        </w:rPr>
        <w:t>state that</w:t>
      </w:r>
      <w:proofErr w:type="gramEnd"/>
      <w:r>
        <w:rPr>
          <w:rFonts w:ascii="Times New Roman" w:eastAsia="Times New Roman" w:hAnsi="Times New Roman" w:cs="Times New Roman"/>
          <w:sz w:val="24"/>
          <w:szCs w:val="24"/>
        </w:rPr>
        <w:t xml:space="preserve"> “most people have largely centrist information diets, or simply do not care about politics or follow it closely” (Guess et al., 2018, p. 9). Guess et al. maintain that </w:t>
      </w:r>
      <w:proofErr w:type="gramStart"/>
      <w:r>
        <w:rPr>
          <w:rFonts w:ascii="Times New Roman" w:eastAsia="Times New Roman" w:hAnsi="Times New Roman" w:cs="Times New Roman"/>
          <w:sz w:val="24"/>
          <w:szCs w:val="24"/>
        </w:rPr>
        <w:t>extreme ideological news is consumed by a small number of users</w:t>
      </w:r>
      <w:proofErr w:type="gramEnd"/>
      <w:r>
        <w:rPr>
          <w:rFonts w:ascii="Times New Roman" w:eastAsia="Times New Roman" w:hAnsi="Times New Roman" w:cs="Times New Roman"/>
          <w:sz w:val="24"/>
          <w:szCs w:val="24"/>
        </w:rPr>
        <w:t xml:space="preserve">. They point out that in </w:t>
      </w:r>
      <w:proofErr w:type="gramStart"/>
      <w:r>
        <w:rPr>
          <w:rFonts w:ascii="Times New Roman" w:eastAsia="Times New Roman" w:hAnsi="Times New Roman" w:cs="Times New Roman"/>
          <w:sz w:val="24"/>
          <w:szCs w:val="24"/>
        </w:rPr>
        <w:t>2017,</w:t>
      </w:r>
      <w:proofErr w:type="gramEnd"/>
      <w:r>
        <w:rPr>
          <w:rFonts w:ascii="Times New Roman" w:eastAsia="Times New Roman" w:hAnsi="Times New Roman" w:cs="Times New Roman"/>
          <w:sz w:val="24"/>
          <w:szCs w:val="24"/>
        </w:rPr>
        <w:t xml:space="preserve"> far-right news site Breitbart received ten million page views while the mainstream </w:t>
      </w:r>
      <w:r>
        <w:rPr>
          <w:rFonts w:ascii="Times New Roman" w:eastAsia="Times New Roman" w:hAnsi="Times New Roman" w:cs="Times New Roman"/>
          <w:i/>
          <w:sz w:val="24"/>
          <w:szCs w:val="24"/>
        </w:rPr>
        <w:t xml:space="preserve">New York Times </w:t>
      </w:r>
      <w:r>
        <w:rPr>
          <w:rFonts w:ascii="Times New Roman" w:eastAsia="Times New Roman" w:hAnsi="Times New Roman" w:cs="Times New Roman"/>
          <w:sz w:val="24"/>
          <w:szCs w:val="24"/>
        </w:rPr>
        <w:t xml:space="preserve">and the </w:t>
      </w:r>
      <w:r>
        <w:rPr>
          <w:rFonts w:ascii="Times New Roman" w:eastAsia="Times New Roman" w:hAnsi="Times New Roman" w:cs="Times New Roman"/>
          <w:i/>
          <w:sz w:val="24"/>
          <w:szCs w:val="24"/>
        </w:rPr>
        <w:t xml:space="preserve">Washington Post </w:t>
      </w:r>
      <w:r>
        <w:rPr>
          <w:rFonts w:ascii="Times New Roman" w:eastAsia="Times New Roman" w:hAnsi="Times New Roman" w:cs="Times New Roman"/>
          <w:sz w:val="24"/>
          <w:szCs w:val="24"/>
        </w:rPr>
        <w:t xml:space="preserve">received between 70-100 million views per month. However, these mainstream sites </w:t>
      </w:r>
      <w:proofErr w:type="gramStart"/>
      <w:r>
        <w:rPr>
          <w:rFonts w:ascii="Times New Roman" w:eastAsia="Times New Roman" w:hAnsi="Times New Roman" w:cs="Times New Roman"/>
          <w:sz w:val="24"/>
          <w:szCs w:val="24"/>
        </w:rPr>
        <w:t>are far outranked</w:t>
      </w:r>
      <w:proofErr w:type="gramEnd"/>
      <w:r>
        <w:rPr>
          <w:rFonts w:ascii="Times New Roman" w:eastAsia="Times New Roman" w:hAnsi="Times New Roman" w:cs="Times New Roman"/>
          <w:sz w:val="24"/>
          <w:szCs w:val="24"/>
        </w:rPr>
        <w:t xml:space="preserve"> by those dedicated to shopping and entertainment.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Lastly, they argue that social context matters, and </w:t>
      </w:r>
      <w:proofErr w:type="gramStart"/>
      <w:r>
        <w:rPr>
          <w:rFonts w:ascii="Times New Roman" w:eastAsia="Times New Roman" w:hAnsi="Times New Roman" w:cs="Times New Roman"/>
          <w:sz w:val="24"/>
          <w:szCs w:val="24"/>
        </w:rPr>
        <w:t>echo-chambers</w:t>
      </w:r>
      <w:proofErr w:type="gramEnd"/>
      <w:r>
        <w:rPr>
          <w:rFonts w:ascii="Times New Roman" w:eastAsia="Times New Roman" w:hAnsi="Times New Roman" w:cs="Times New Roman"/>
          <w:sz w:val="24"/>
          <w:szCs w:val="24"/>
        </w:rPr>
        <w:t xml:space="preserve"> may therefore be strongest in offline interactions. Political discussions often take place among those in close daily proximity, and Americans </w:t>
      </w:r>
      <w:proofErr w:type="gramStart"/>
      <w:r>
        <w:rPr>
          <w:rFonts w:ascii="Times New Roman" w:eastAsia="Times New Roman" w:hAnsi="Times New Roman" w:cs="Times New Roman"/>
          <w:sz w:val="24"/>
          <w:szCs w:val="24"/>
        </w:rPr>
        <w:t>have been geographically segregated</w:t>
      </w:r>
      <w:proofErr w:type="gramEnd"/>
      <w:r>
        <w:rPr>
          <w:rFonts w:ascii="Times New Roman" w:eastAsia="Times New Roman" w:hAnsi="Times New Roman" w:cs="Times New Roman"/>
          <w:sz w:val="24"/>
          <w:szCs w:val="24"/>
        </w:rPr>
        <w:t xml:space="preserve"> based on party affiliation for decades (Boxell et al., 2017; Stephens-Davidowitz, 2017; Bishop, 2009). This </w:t>
      </w:r>
      <w:proofErr w:type="gramStart"/>
      <w:r>
        <w:rPr>
          <w:rFonts w:ascii="Times New Roman" w:eastAsia="Times New Roman" w:hAnsi="Times New Roman" w:cs="Times New Roman"/>
          <w:sz w:val="24"/>
          <w:szCs w:val="24"/>
        </w:rPr>
        <w:t>is reinforced</w:t>
      </w:r>
      <w:proofErr w:type="gramEnd"/>
      <w:r>
        <w:rPr>
          <w:rFonts w:ascii="Times New Roman" w:eastAsia="Times New Roman" w:hAnsi="Times New Roman" w:cs="Times New Roman"/>
          <w:sz w:val="24"/>
          <w:szCs w:val="24"/>
        </w:rPr>
        <w:t xml:space="preserve"> by a study from Boxell et al. who found that polarization has increased the most among demographics who are least likely to use the internet and social media (Boxell et al., 2017). They reason that users are more likely to come across </w:t>
      </w:r>
      <w:proofErr w:type="gramStart"/>
      <w:r>
        <w:rPr>
          <w:rFonts w:ascii="Times New Roman" w:eastAsia="Times New Roman" w:hAnsi="Times New Roman" w:cs="Times New Roman"/>
          <w:sz w:val="24"/>
          <w:szCs w:val="24"/>
        </w:rPr>
        <w:t>cross-cutting</w:t>
      </w:r>
      <w:proofErr w:type="gramEnd"/>
      <w:r>
        <w:rPr>
          <w:rFonts w:ascii="Times New Roman" w:eastAsia="Times New Roman" w:hAnsi="Times New Roman" w:cs="Times New Roman"/>
          <w:sz w:val="24"/>
          <w:szCs w:val="24"/>
        </w:rPr>
        <w:t xml:space="preserve"> information on social media. According to an analysis of over 10.1 million profiles on Facebook, Bakshy et al. found that about 20 percent of social media users share friendships with those who hold opposing political views. They also determined that many social media users share news stories that do not always align with their ideology: 24 percent of news stories shared by liberals and 35 percent by conservatives contained </w:t>
      </w:r>
      <w:proofErr w:type="gramStart"/>
      <w:r>
        <w:rPr>
          <w:rFonts w:ascii="Times New Roman" w:eastAsia="Times New Roman" w:hAnsi="Times New Roman" w:cs="Times New Roman"/>
          <w:sz w:val="24"/>
          <w:szCs w:val="24"/>
        </w:rPr>
        <w:t>cross-cutting</w:t>
      </w:r>
      <w:proofErr w:type="gramEnd"/>
      <w:r>
        <w:rPr>
          <w:rFonts w:ascii="Times New Roman" w:eastAsia="Times New Roman" w:hAnsi="Times New Roman" w:cs="Times New Roman"/>
          <w:sz w:val="24"/>
          <w:szCs w:val="24"/>
        </w:rPr>
        <w:t xml:space="preserve"> information (Bakshy et al., 2015). This has led some scholars to argue that online platforms can actually </w:t>
      </w:r>
      <w:r>
        <w:rPr>
          <w:rFonts w:ascii="Times New Roman" w:eastAsia="Times New Roman" w:hAnsi="Times New Roman" w:cs="Times New Roman"/>
          <w:i/>
          <w:sz w:val="24"/>
          <w:szCs w:val="24"/>
        </w:rPr>
        <w:t>reduce</w:t>
      </w:r>
      <w:r>
        <w:rPr>
          <w:rFonts w:ascii="Times New Roman" w:eastAsia="Times New Roman" w:hAnsi="Times New Roman" w:cs="Times New Roman"/>
          <w:sz w:val="24"/>
          <w:szCs w:val="24"/>
        </w:rPr>
        <w:t xml:space="preserve"> polarization, as users experience alternative views at a much higher rate online (Guess et al., 2018). However, it </w:t>
      </w:r>
      <w:proofErr w:type="gramStart"/>
      <w:r>
        <w:rPr>
          <w:rFonts w:ascii="Times New Roman" w:eastAsia="Times New Roman" w:hAnsi="Times New Roman" w:cs="Times New Roman"/>
          <w:sz w:val="24"/>
          <w:szCs w:val="24"/>
        </w:rPr>
        <w:t>must be noted</w:t>
      </w:r>
      <w:proofErr w:type="gramEnd"/>
      <w:r>
        <w:rPr>
          <w:rFonts w:ascii="Times New Roman" w:eastAsia="Times New Roman" w:hAnsi="Times New Roman" w:cs="Times New Roman"/>
          <w:sz w:val="24"/>
          <w:szCs w:val="24"/>
        </w:rPr>
        <w:t xml:space="preserve"> that although users are exposed to more ideological variety, only about seven percent of hard news stories on social media are actually clicked on (Bakshy et al., 2015).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Empirical data regarding the prevalence of social media </w:t>
      </w:r>
      <w:proofErr w:type="gramStart"/>
      <w:r>
        <w:rPr>
          <w:rFonts w:ascii="Times New Roman" w:eastAsia="Times New Roman" w:hAnsi="Times New Roman" w:cs="Times New Roman"/>
          <w:sz w:val="24"/>
          <w:szCs w:val="24"/>
        </w:rPr>
        <w:t>echo-chambers</w:t>
      </w:r>
      <w:proofErr w:type="gramEnd"/>
      <w:r>
        <w:rPr>
          <w:rFonts w:ascii="Times New Roman" w:eastAsia="Times New Roman" w:hAnsi="Times New Roman" w:cs="Times New Roman"/>
          <w:sz w:val="24"/>
          <w:szCs w:val="24"/>
        </w:rPr>
        <w:t xml:space="preserve"> is mixed. Nearly 70 percent of the American public uses social media, and 68 percent of users get their news from these online platforms, but it is a challenging area for researchers (Smith and Anderson, 2018; Shearer and Masta, 2018). Studies of social media </w:t>
      </w:r>
      <w:proofErr w:type="gramStart"/>
      <w:r>
        <w:rPr>
          <w:rFonts w:ascii="Times New Roman" w:eastAsia="Times New Roman" w:hAnsi="Times New Roman" w:cs="Times New Roman"/>
          <w:sz w:val="24"/>
          <w:szCs w:val="24"/>
        </w:rPr>
        <w:t>are limited</w:t>
      </w:r>
      <w:proofErr w:type="gramEnd"/>
      <w:r>
        <w:rPr>
          <w:rFonts w:ascii="Times New Roman" w:eastAsia="Times New Roman" w:hAnsi="Times New Roman" w:cs="Times New Roman"/>
          <w:sz w:val="24"/>
          <w:szCs w:val="24"/>
        </w:rPr>
        <w:t xml:space="preserve"> by the medium. For example, homophily and polarization on Twitter has been extensively studied due to the ease of </w:t>
      </w:r>
      <w:proofErr w:type="gramStart"/>
      <w:r>
        <w:rPr>
          <w:rFonts w:ascii="Times New Roman" w:eastAsia="Times New Roman" w:hAnsi="Times New Roman" w:cs="Times New Roman"/>
          <w:sz w:val="24"/>
          <w:szCs w:val="24"/>
        </w:rPr>
        <w:t>data-gathering</w:t>
      </w:r>
      <w:proofErr w:type="gramEnd"/>
      <w:r>
        <w:rPr>
          <w:rFonts w:ascii="Times New Roman" w:eastAsia="Times New Roman" w:hAnsi="Times New Roman" w:cs="Times New Roman"/>
          <w:sz w:val="24"/>
          <w:szCs w:val="24"/>
        </w:rPr>
        <w:t xml:space="preserve"> on the platform, but Facebook profiles are significantly more private (Guess et al., 2018). This leads to a skewed perception of social media’s effects, as different platforms produce different results. Furthermore, the nature of each social network has an impact on </w:t>
      </w:r>
      <w:proofErr w:type="gramStart"/>
      <w:r>
        <w:rPr>
          <w:rFonts w:ascii="Times New Roman" w:eastAsia="Times New Roman" w:hAnsi="Times New Roman" w:cs="Times New Roman"/>
          <w:sz w:val="24"/>
          <w:szCs w:val="24"/>
        </w:rPr>
        <w:t>data-gathering</w:t>
      </w:r>
      <w:proofErr w:type="gramEnd"/>
      <w:r>
        <w:rPr>
          <w:rFonts w:ascii="Times New Roman" w:eastAsia="Times New Roman" w:hAnsi="Times New Roman" w:cs="Times New Roman"/>
          <w:sz w:val="24"/>
          <w:szCs w:val="24"/>
        </w:rPr>
        <w:t xml:space="preserve">. While </w:t>
      </w:r>
      <w:r>
        <w:rPr>
          <w:rFonts w:ascii="Times New Roman" w:eastAsia="Times New Roman" w:hAnsi="Times New Roman" w:cs="Times New Roman"/>
          <w:sz w:val="24"/>
          <w:szCs w:val="24"/>
        </w:rPr>
        <w:lastRenderedPageBreak/>
        <w:t xml:space="preserve">Twitter users tend to bask in anonymity and homophily, Facebook users may have different political conversations due to their posts </w:t>
      </w:r>
      <w:proofErr w:type="gramStart"/>
      <w:r>
        <w:rPr>
          <w:rFonts w:ascii="Times New Roman" w:eastAsia="Times New Roman" w:hAnsi="Times New Roman" w:cs="Times New Roman"/>
          <w:sz w:val="24"/>
          <w:szCs w:val="24"/>
        </w:rPr>
        <w:t>being shared</w:t>
      </w:r>
      <w:proofErr w:type="gramEnd"/>
      <w:r>
        <w:rPr>
          <w:rFonts w:ascii="Times New Roman" w:eastAsia="Times New Roman" w:hAnsi="Times New Roman" w:cs="Times New Roman"/>
          <w:sz w:val="24"/>
          <w:szCs w:val="24"/>
        </w:rPr>
        <w:t xml:space="preserve"> with their more intimate network of in-laws, bosses, and friends. Furthermore, mere exposure to </w:t>
      </w:r>
      <w:proofErr w:type="gramStart"/>
      <w:r>
        <w:rPr>
          <w:rFonts w:ascii="Times New Roman" w:eastAsia="Times New Roman" w:hAnsi="Times New Roman" w:cs="Times New Roman"/>
          <w:sz w:val="24"/>
          <w:szCs w:val="24"/>
        </w:rPr>
        <w:t>cross-cutting</w:t>
      </w:r>
      <w:proofErr w:type="gramEnd"/>
      <w:r>
        <w:rPr>
          <w:rFonts w:ascii="Times New Roman" w:eastAsia="Times New Roman" w:hAnsi="Times New Roman" w:cs="Times New Roman"/>
          <w:sz w:val="24"/>
          <w:szCs w:val="24"/>
        </w:rPr>
        <w:t xml:space="preserve"> information does not reduce polarization. Though users’ online social lives tend to be more politically diverse than their offline lives, people have many weak online ties that aid in the diffusion of </w:t>
      </w:r>
      <w:proofErr w:type="gramStart"/>
      <w:r>
        <w:rPr>
          <w:rFonts w:ascii="Times New Roman" w:eastAsia="Times New Roman" w:hAnsi="Times New Roman" w:cs="Times New Roman"/>
          <w:sz w:val="24"/>
          <w:szCs w:val="24"/>
        </w:rPr>
        <w:t>cross-cutting</w:t>
      </w:r>
      <w:proofErr w:type="gramEnd"/>
      <w:r>
        <w:rPr>
          <w:rFonts w:ascii="Times New Roman" w:eastAsia="Times New Roman" w:hAnsi="Times New Roman" w:cs="Times New Roman"/>
          <w:sz w:val="24"/>
          <w:szCs w:val="24"/>
        </w:rPr>
        <w:t xml:space="preserve"> information. They </w:t>
      </w:r>
      <w:proofErr w:type="gramStart"/>
      <w:r>
        <w:rPr>
          <w:rFonts w:ascii="Times New Roman" w:eastAsia="Times New Roman" w:hAnsi="Times New Roman" w:cs="Times New Roman"/>
          <w:sz w:val="24"/>
          <w:szCs w:val="24"/>
        </w:rPr>
        <w:t>may be exposed</w:t>
      </w:r>
      <w:proofErr w:type="gramEnd"/>
      <w:r>
        <w:rPr>
          <w:rFonts w:ascii="Times New Roman" w:eastAsia="Times New Roman" w:hAnsi="Times New Roman" w:cs="Times New Roman"/>
          <w:sz w:val="24"/>
          <w:szCs w:val="24"/>
        </w:rPr>
        <w:t xml:space="preserve"> to more diverse information, but their views remain static.</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GAFA’s Threat to Democracy</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GAFA: Google, Amazon, Facebook, and Apple. These four monopolistic technology companies are “our primary portals to information and knowledge,” imbuing them with more power than any government or empire in history (Foer, 2018, p. 104). Google provides information and predicts how people think. Amazon uses that data to sell products that consumers are likely to buy. Facebook feeds news and information to users based on their browsing patterns. Apple supplies the technology on which these companies install their manipulative software. These companies capitalize on their influence to collect massive amounts of data, and ultimately use it to maximize profit by exploiting user’s attention. Political polarization is </w:t>
      </w:r>
      <w:proofErr w:type="gramStart"/>
      <w:r>
        <w:rPr>
          <w:rFonts w:ascii="Times New Roman" w:eastAsia="Times New Roman" w:hAnsi="Times New Roman" w:cs="Times New Roman"/>
          <w:sz w:val="24"/>
          <w:szCs w:val="24"/>
        </w:rPr>
        <w:t>not only due to social media, but also reliance</w:t>
      </w:r>
      <w:proofErr w:type="gramEnd"/>
      <w:r>
        <w:rPr>
          <w:rFonts w:ascii="Times New Roman" w:eastAsia="Times New Roman" w:hAnsi="Times New Roman" w:cs="Times New Roman"/>
          <w:sz w:val="24"/>
          <w:szCs w:val="24"/>
        </w:rPr>
        <w:t xml:space="preserve"> on the internet and the tech giants who control it. It is merely a symptom of wider technological dependence. Big Tech undermines democracy as its addictive algorithms modify behavior and maintain a monopoly over information.</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Technology </w:t>
      </w:r>
      <w:proofErr w:type="gramStart"/>
      <w:r>
        <w:rPr>
          <w:rFonts w:ascii="Times New Roman" w:eastAsia="Times New Roman" w:hAnsi="Times New Roman" w:cs="Times New Roman"/>
          <w:sz w:val="24"/>
          <w:szCs w:val="24"/>
        </w:rPr>
        <w:t>is designed</w:t>
      </w:r>
      <w:proofErr w:type="gramEnd"/>
      <w:r>
        <w:rPr>
          <w:rFonts w:ascii="Times New Roman" w:eastAsia="Times New Roman" w:hAnsi="Times New Roman" w:cs="Times New Roman"/>
          <w:sz w:val="24"/>
          <w:szCs w:val="24"/>
        </w:rPr>
        <w:t xml:space="preserve"> to be addictive, and corporations abuse users’ attention to maximize profit. These companies have created an information economy: the war for revenue is a battle over the finite resource of attention. YouTube autoplays videos, Snapchat turns friendships into streaks, and a never-ending Instagram feed portrays the highlight reels of people’s lives. Likes, comments, and notifications leave individuals reliant on their devices. Furthermore,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seen as acceptable to be addicted to technology. From waiting in line to going on dates, people are lost in their screens. </w:t>
      </w:r>
      <w:r>
        <w:rPr>
          <w:rFonts w:ascii="Times New Roman" w:eastAsia="Times New Roman" w:hAnsi="Times New Roman" w:cs="Times New Roman"/>
          <w:sz w:val="24"/>
          <w:szCs w:val="24"/>
        </w:rPr>
        <w:lastRenderedPageBreak/>
        <w:t>In the midst of this technological dependence, Big Tech companies collect user data and its algorithms “suggest the news we read, the goods we buy, the path we travel, [and] the friends we invite into our circle”</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(Foer, 2018, p. 11). This automates choice and outsources creativity because the “algorithms are trained to think just like you”</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(Foer, 2018, p. 39). For instance, </w:t>
      </w:r>
      <w:proofErr w:type="gramStart"/>
      <w:r>
        <w:rPr>
          <w:rFonts w:ascii="Times New Roman" w:eastAsia="Times New Roman" w:hAnsi="Times New Roman" w:cs="Times New Roman"/>
          <w:sz w:val="24"/>
          <w:szCs w:val="24"/>
        </w:rPr>
        <w:t>through the use of</w:t>
      </w:r>
      <w:proofErr w:type="gramEnd"/>
      <w:r>
        <w:rPr>
          <w:rFonts w:ascii="Times New Roman" w:eastAsia="Times New Roman" w:hAnsi="Times New Roman" w:cs="Times New Roman"/>
          <w:sz w:val="24"/>
          <w:szCs w:val="24"/>
        </w:rPr>
        <w:t xml:space="preserve"> their search engine, web browser, and mobile phone software, Google tracks user activity and analyzes their habits throughout the day. The algorithm learns not </w:t>
      </w:r>
      <w:proofErr w:type="gramStart"/>
      <w:r>
        <w:rPr>
          <w:rFonts w:ascii="Times New Roman" w:eastAsia="Times New Roman" w:hAnsi="Times New Roman" w:cs="Times New Roman"/>
          <w:sz w:val="24"/>
          <w:szCs w:val="24"/>
        </w:rPr>
        <w:t>only from</w:t>
      </w:r>
      <w:proofErr w:type="gramEnd"/>
      <w:r>
        <w:rPr>
          <w:rFonts w:ascii="Times New Roman" w:eastAsia="Times New Roman" w:hAnsi="Times New Roman" w:cs="Times New Roman"/>
          <w:sz w:val="24"/>
          <w:szCs w:val="24"/>
        </w:rPr>
        <w:t xml:space="preserve"> individual actions, but collective patterns from the totality of its users. This data </w:t>
      </w:r>
      <w:proofErr w:type="gramStart"/>
      <w:r>
        <w:rPr>
          <w:rFonts w:ascii="Times New Roman" w:eastAsia="Times New Roman" w:hAnsi="Times New Roman" w:cs="Times New Roman"/>
          <w:sz w:val="24"/>
          <w:szCs w:val="24"/>
        </w:rPr>
        <w:t>is used</w:t>
      </w:r>
      <w:proofErr w:type="gramEnd"/>
      <w:r>
        <w:rPr>
          <w:rFonts w:ascii="Times New Roman" w:eastAsia="Times New Roman" w:hAnsi="Times New Roman" w:cs="Times New Roman"/>
          <w:sz w:val="24"/>
          <w:szCs w:val="24"/>
        </w:rPr>
        <w:t xml:space="preserve"> to statistically predict behavior. Google is not alone in this: “Facebook paternalistically nudges users in the direction it deems best for them, which also happens to be the direction that thoroughly addicts them” (Foer, 2018, p. 56). This is considerable power for corporations seeking to maximize profits for their shareholders. “Data provides an X-Ray of the soul” and firms use it to modify behavior (Foer, 2018, p. 178). The data-driven algorithm is the psychological weapon of the digital age.</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Cambridge Analytica</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can be misused to undermine the political system. In 2016, the </w:t>
      </w:r>
      <w:proofErr w:type="gramStart"/>
      <w:r>
        <w:rPr>
          <w:rFonts w:ascii="Times New Roman" w:eastAsia="Times New Roman" w:hAnsi="Times New Roman" w:cs="Times New Roman"/>
          <w:sz w:val="24"/>
          <w:szCs w:val="24"/>
        </w:rPr>
        <w:t>data mining</w:t>
      </w:r>
      <w:proofErr w:type="gramEnd"/>
      <w:r>
        <w:rPr>
          <w:rFonts w:ascii="Times New Roman" w:eastAsia="Times New Roman" w:hAnsi="Times New Roman" w:cs="Times New Roman"/>
          <w:sz w:val="24"/>
          <w:szCs w:val="24"/>
        </w:rPr>
        <w:t xml:space="preserve"> firm Cambridge Analytica gathered a massive dataset from Facebook with information pertaining to over 87 million Facebook users (Rosenberg, 2018; Schroepfer, 2018). The firm financed the creation of the dataset by hiring a researcher at Cambridge University’s Psychometrics Centre, Dr. Kogan. Kogan and his colleagues had “developed a technique to map personality traits based on what people had liked on Facebook,” and they created an app that paid users to take a personality quiz (Rosenberg, 2018). This app would then gather personal information from their Facebook profile,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their friends information without consent. Using this technique, Cambridge Analytica was able to determine a user’s openness, conscientiousness, extraversion, agreeableness, neuroticism, life satisfaction, IQ, gender, age, political views, religious affiliation, job, university area of study, self-disclosure, fair-mindedness, self-monitoring, and other interests. The firm then </w:t>
      </w:r>
      <w:r>
        <w:rPr>
          <w:rFonts w:ascii="Times New Roman" w:eastAsia="Times New Roman" w:hAnsi="Times New Roman" w:cs="Times New Roman"/>
          <w:sz w:val="24"/>
          <w:szCs w:val="24"/>
        </w:rPr>
        <w:lastRenderedPageBreak/>
        <w:t xml:space="preserve">employed psychological operations—military-style psychological warfare—in order to effect mass sentiment change in the population. Using their dataset of Facebook users, they could uncover psychological insights of voters. In doing so, the company was able to deliver </w:t>
      </w:r>
      <w:proofErr w:type="gramStart"/>
      <w:r>
        <w:rPr>
          <w:rFonts w:ascii="Times New Roman" w:eastAsia="Times New Roman" w:hAnsi="Times New Roman" w:cs="Times New Roman"/>
          <w:sz w:val="24"/>
          <w:szCs w:val="24"/>
        </w:rPr>
        <w:t>highly-tailored</w:t>
      </w:r>
      <w:proofErr w:type="gramEnd"/>
      <w:r>
        <w:rPr>
          <w:rFonts w:ascii="Times New Roman" w:eastAsia="Times New Roman" w:hAnsi="Times New Roman" w:cs="Times New Roman"/>
          <w:sz w:val="24"/>
          <w:szCs w:val="24"/>
        </w:rPr>
        <w:t xml:space="preserve"> advertisements to persuadable voters. For example, “Cambridge Analytica could target people high in neuroticism [...] with images of immigrants ‘swamping’ the country” (Cadwalladr, 2017). These insights </w:t>
      </w:r>
      <w:proofErr w:type="gramStart"/>
      <w:r>
        <w:rPr>
          <w:rFonts w:ascii="Times New Roman" w:eastAsia="Times New Roman" w:hAnsi="Times New Roman" w:cs="Times New Roman"/>
          <w:sz w:val="24"/>
          <w:szCs w:val="24"/>
        </w:rPr>
        <w:t>were used</w:t>
      </w:r>
      <w:proofErr w:type="gramEnd"/>
      <w:r>
        <w:rPr>
          <w:rFonts w:ascii="Times New Roman" w:eastAsia="Times New Roman" w:hAnsi="Times New Roman" w:cs="Times New Roman"/>
          <w:sz w:val="24"/>
          <w:szCs w:val="24"/>
        </w:rPr>
        <w:t xml:space="preserve"> in a variety of elections, most prominently on behalf of Vote Leave in the UK and Donald Trump. In both of these cases, “studies and intelligence reports show, nation states and nonstate actors alike exploited, manipulated, and abused social media as a tool of their ‘information operations’” (Deibert, 2019). Social media helped to facilitate modern-day election manipulation.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Facebook-Cambridge Analytica scandal illustrates the danger of mismanaged personal data. Over 70.6 million profiles of American users </w:t>
      </w:r>
      <w:proofErr w:type="gramStart"/>
      <w:r>
        <w:rPr>
          <w:rFonts w:ascii="Times New Roman" w:eastAsia="Times New Roman" w:hAnsi="Times New Roman" w:cs="Times New Roman"/>
          <w:sz w:val="24"/>
          <w:szCs w:val="24"/>
        </w:rPr>
        <w:t>were leaked</w:t>
      </w:r>
      <w:proofErr w:type="gramEnd"/>
      <w:r>
        <w:rPr>
          <w:rFonts w:ascii="Times New Roman" w:eastAsia="Times New Roman" w:hAnsi="Times New Roman" w:cs="Times New Roman"/>
          <w:sz w:val="24"/>
          <w:szCs w:val="24"/>
        </w:rPr>
        <w:t xml:space="preserve"> to Cambridge Analytica, which represents just over half of all voters in the 2016 presidential election. However, due to the </w:t>
      </w:r>
      <w:proofErr w:type="gramStart"/>
      <w:r>
        <w:rPr>
          <w:rFonts w:ascii="Times New Roman" w:eastAsia="Times New Roman" w:hAnsi="Times New Roman" w:cs="Times New Roman"/>
          <w:sz w:val="24"/>
          <w:szCs w:val="24"/>
        </w:rPr>
        <w:t>electoral college</w:t>
      </w:r>
      <w:proofErr w:type="gramEnd"/>
      <w:r>
        <w:rPr>
          <w:rFonts w:ascii="Times New Roman" w:eastAsia="Times New Roman" w:hAnsi="Times New Roman" w:cs="Times New Roman"/>
          <w:sz w:val="24"/>
          <w:szCs w:val="24"/>
        </w:rPr>
        <w:t xml:space="preserve">, the results of the election were decided by 77,000 votes in Pennsylvania, Wisconsin, and Michigan (McCormack, 2016). The extent to which the firm was able to persuade these voters remains unclear, but it is not difficult to imagine that they were able to persuade this 0.056 percent of the voting public and therefore hand the election to Mr. Trump. The possibility of using psychological manipulation to sway an election is diametrically opposed to the notion of self-government, yet remains an </w:t>
      </w:r>
      <w:proofErr w:type="gramStart"/>
      <w:r>
        <w:rPr>
          <w:rFonts w:ascii="Times New Roman" w:eastAsia="Times New Roman" w:hAnsi="Times New Roman" w:cs="Times New Roman"/>
          <w:sz w:val="24"/>
          <w:szCs w:val="24"/>
        </w:rPr>
        <w:t>ever present</w:t>
      </w:r>
      <w:proofErr w:type="gramEnd"/>
      <w:r>
        <w:rPr>
          <w:rFonts w:ascii="Times New Roman" w:eastAsia="Times New Roman" w:hAnsi="Times New Roman" w:cs="Times New Roman"/>
          <w:sz w:val="24"/>
          <w:szCs w:val="24"/>
        </w:rPr>
        <w:t xml:space="preserve"> threat to democracy.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Threat of Digital Gerrymandering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gathering of personal information and use of big data by social media companies threatens the integrity of elections and undermines the democratic process. For example, Facebook itself has the capacity </w:t>
      </w:r>
      <w:proofErr w:type="gramStart"/>
      <w:r>
        <w:rPr>
          <w:rFonts w:ascii="Times New Roman" w:eastAsia="Times New Roman" w:hAnsi="Times New Roman" w:cs="Times New Roman"/>
          <w:sz w:val="24"/>
          <w:szCs w:val="24"/>
        </w:rPr>
        <w:t>to digitally gerrymander</w:t>
      </w:r>
      <w:proofErr w:type="gramEnd"/>
      <w:r>
        <w:rPr>
          <w:rFonts w:ascii="Times New Roman" w:eastAsia="Times New Roman" w:hAnsi="Times New Roman" w:cs="Times New Roman"/>
          <w:sz w:val="24"/>
          <w:szCs w:val="24"/>
        </w:rPr>
        <w:t xml:space="preserve"> an entire election. Traditional gerrymandering requires census data, as state legislatures work to create an advantageous electoral map for their </w:t>
      </w:r>
      <w:r>
        <w:rPr>
          <w:rFonts w:ascii="Times New Roman" w:eastAsia="Times New Roman" w:hAnsi="Times New Roman" w:cs="Times New Roman"/>
          <w:sz w:val="24"/>
          <w:szCs w:val="24"/>
        </w:rPr>
        <w:lastRenderedPageBreak/>
        <w:t xml:space="preserve">political party. They can do this by packing voters of the opposition party into one electoral district, thereby guaranteeing that party at least one seat, while disenfranchising them in other areas of the state where their vote </w:t>
      </w:r>
      <w:proofErr w:type="gramStart"/>
      <w:r>
        <w:rPr>
          <w:rFonts w:ascii="Times New Roman" w:eastAsia="Times New Roman" w:hAnsi="Times New Roman" w:cs="Times New Roman"/>
          <w:sz w:val="24"/>
          <w:szCs w:val="24"/>
        </w:rPr>
        <w:t>is diluted</w:t>
      </w:r>
      <w:proofErr w:type="gramEnd"/>
      <w:r>
        <w:rPr>
          <w:rFonts w:ascii="Times New Roman" w:eastAsia="Times New Roman" w:hAnsi="Times New Roman" w:cs="Times New Roman"/>
          <w:sz w:val="24"/>
          <w:szCs w:val="24"/>
        </w:rPr>
        <w:t xml:space="preserve">. They can also create districts where a party’s vote </w:t>
      </w:r>
      <w:proofErr w:type="gramStart"/>
      <w:r>
        <w:rPr>
          <w:rFonts w:ascii="Times New Roman" w:eastAsia="Times New Roman" w:hAnsi="Times New Roman" w:cs="Times New Roman"/>
          <w:sz w:val="24"/>
          <w:szCs w:val="24"/>
        </w:rPr>
        <w:t>is diluted</w:t>
      </w:r>
      <w:proofErr w:type="gramEnd"/>
      <w:r>
        <w:rPr>
          <w:rFonts w:ascii="Times New Roman" w:eastAsia="Times New Roman" w:hAnsi="Times New Roman" w:cs="Times New Roman"/>
          <w:sz w:val="24"/>
          <w:szCs w:val="24"/>
        </w:rPr>
        <w:t xml:space="preserve"> across many districts. However, this redistricting process usually occurs every ten years after the official U.S. census. It is much easier to use digital influence to alter elections.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online tools, Facebook could swing any election—worldwide. Facebook can discern a users political beliefs “on the basis of their ‘likes’ alone” (Foer, 2017, p. 73). Facebook has also shown that it can increase voter turnout by placing voting reminders on users’ feeds. In a study conducted by the social media giant, they experimented on users with three distinct messages during the 2010 U.S. congressional election. One group of users received an informational message on the top of their newsfeed that encouraged voting: it provided links to nearby polling locations, and included an ‘I voted’ button that users could click and share (Bond et al., 2012). The second group received a social message, which provided the same elements as the first group, but also displayed six random Facebook friends who had clicked the ‘I voted’ button. The remaining group was a control group received no message. The group that received the social message were two percent more likely to share that they had voted. Two percent can flip an election. Putting voting reminders on Democratic user’s newsfeeds in Pennsylvania, Wisconsin, and Michigan in 2016 would have resulted in the Presidency of Hillary Clinton. Two percent can decide the direction of the country. </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Using Data for Manipulation</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Facebook also has the capacity to manipulate emotions. A study </w:t>
      </w:r>
      <w:proofErr w:type="gramStart"/>
      <w:r>
        <w:rPr>
          <w:rFonts w:ascii="Times New Roman" w:eastAsia="Times New Roman" w:hAnsi="Times New Roman" w:cs="Times New Roman"/>
          <w:sz w:val="24"/>
          <w:szCs w:val="24"/>
        </w:rPr>
        <w:t>was conducted</w:t>
      </w:r>
      <w:proofErr w:type="gramEnd"/>
      <w:r>
        <w:rPr>
          <w:rFonts w:ascii="Times New Roman" w:eastAsia="Times New Roman" w:hAnsi="Times New Roman" w:cs="Times New Roman"/>
          <w:sz w:val="24"/>
          <w:szCs w:val="24"/>
        </w:rPr>
        <w:t xml:space="preserve"> where Facebook removed positive posts from the news feed of one group, and negative posts from another. In both cases, users wrote status updates “that echoed the mood of the posts it had reworded”</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(Foer, 2018, p. 72). In other words, they have the power to reduce certain emotions </w:t>
      </w:r>
      <w:r>
        <w:rPr>
          <w:rFonts w:ascii="Times New Roman" w:eastAsia="Times New Roman" w:hAnsi="Times New Roman" w:cs="Times New Roman"/>
          <w:sz w:val="24"/>
          <w:szCs w:val="24"/>
        </w:rPr>
        <w:lastRenderedPageBreak/>
        <w:t xml:space="preserve">from an online experience. This influence </w:t>
      </w:r>
      <w:proofErr w:type="gramStart"/>
      <w:r>
        <w:rPr>
          <w:rFonts w:ascii="Times New Roman" w:eastAsia="Times New Roman" w:hAnsi="Times New Roman" w:cs="Times New Roman"/>
          <w:sz w:val="24"/>
          <w:szCs w:val="24"/>
        </w:rPr>
        <w:t>could be used</w:t>
      </w:r>
      <w:proofErr w:type="gramEnd"/>
      <w:r>
        <w:rPr>
          <w:rFonts w:ascii="Times New Roman" w:eastAsia="Times New Roman" w:hAnsi="Times New Roman" w:cs="Times New Roman"/>
          <w:sz w:val="24"/>
          <w:szCs w:val="24"/>
        </w:rPr>
        <w:t xml:space="preserve"> as a force of relative triviality like directing advertisements for dating websites to single, happy users. But emotions could also be fanned to incite violence against religious minorities in the developing world, or lead a domestic terrorist to mail homemade pipe bombs to prominent opposition leaders (Tuab and Fisher, 2018; Rashbaum et al., 2018). Not only can tech companies modify behavior, </w:t>
      </w: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they hold a monopoly over information.</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internet age, there is “Total Noise,” simply an overwhelming amount of information available (Foer, 2018, p. 84). Therefore, individuals must rely on technology companies to filter and organize the information around them, because “without these tools, the Internet becomes unusable” (Foer, 2018, p. 85). Big Tech serve as gatekeepers to this mysterious world, providing an informational hierarchy and making sense out of the confusion of life. In the information economy, a monopoly over knowledge and “the process of guiding the public to information is a source of tremendous cultural and political power”</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(Foer, 2018, p. 87). By using its influence to alter behavior, Big Tech violates individual freedom and undermines democracy. Dewey noted that the fundamental unit of a liberal democracy is the individual. However, in this society, the individual </w:t>
      </w:r>
      <w:proofErr w:type="gramStart"/>
      <w:r>
        <w:rPr>
          <w:rFonts w:ascii="Times New Roman" w:eastAsia="Times New Roman" w:hAnsi="Times New Roman" w:cs="Times New Roman"/>
          <w:sz w:val="24"/>
          <w:szCs w:val="24"/>
        </w:rPr>
        <w:t>is deprived</w:t>
      </w:r>
      <w:proofErr w:type="gramEnd"/>
      <w:r>
        <w:rPr>
          <w:rFonts w:ascii="Times New Roman" w:eastAsia="Times New Roman" w:hAnsi="Times New Roman" w:cs="Times New Roman"/>
          <w:sz w:val="24"/>
          <w:szCs w:val="24"/>
        </w:rPr>
        <w:t xml:space="preserve"> of free will. Algorithms relieve “the burden of choosing” and allow Big Tech to determine what news people read, the websites they visit, and the products they buy (Foer, 2018, p. 74). This destroys individual thought: “when we outsource thinking to machines, we are really outsourcing thinking to the organizations that run the machines” (Foer, 2018, p. 70). </w:t>
      </w:r>
      <w:proofErr w:type="gramStart"/>
      <w:r>
        <w:rPr>
          <w:rFonts w:ascii="Times New Roman" w:eastAsia="Times New Roman" w:hAnsi="Times New Roman" w:cs="Times New Roman"/>
          <w:sz w:val="24"/>
          <w:szCs w:val="24"/>
        </w:rPr>
        <w:t>Big Tech has captured the attention of America, and uses it to ensure that users spend as much time as possible on its platforms.</w:t>
      </w:r>
      <w:proofErr w:type="gramEnd"/>
      <w:r>
        <w:rPr>
          <w:rFonts w:ascii="Times New Roman" w:eastAsia="Times New Roman" w:hAnsi="Times New Roman" w:cs="Times New Roman"/>
          <w:sz w:val="24"/>
          <w:szCs w:val="24"/>
        </w:rPr>
        <w:t xml:space="preserve"> In doing so, behavior </w:t>
      </w:r>
      <w:proofErr w:type="gramStart"/>
      <w:r>
        <w:rPr>
          <w:rFonts w:ascii="Times New Roman" w:eastAsia="Times New Roman" w:hAnsi="Times New Roman" w:cs="Times New Roman"/>
          <w:sz w:val="24"/>
          <w:szCs w:val="24"/>
        </w:rPr>
        <w:t>is manipulated</w:t>
      </w:r>
      <w:proofErr w:type="gramEnd"/>
      <w:r>
        <w:rPr>
          <w:rFonts w:ascii="Times New Roman" w:eastAsia="Times New Roman" w:hAnsi="Times New Roman" w:cs="Times New Roman"/>
          <w:sz w:val="24"/>
          <w:szCs w:val="24"/>
        </w:rPr>
        <w:t xml:space="preserve"> on a massive scale. These four corporations “have created a world in which we’re constantly watched and always distracted” (Foer, 2018, p. 15). GAFA has undermined democracy through its abuse of attention, modification of behavior, and monopolization of information.</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 Where Do We Go From Here?</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In John Dewey’s vision, democracy is not merely a form of government—it is a way of life. In order to promote participation, there must be a social presupposition of democracy that flows from the national to the individual </w:t>
      </w:r>
      <w:proofErr w:type="gramStart"/>
      <w:r>
        <w:rPr>
          <w:rFonts w:ascii="Times New Roman" w:eastAsia="Times New Roman" w:hAnsi="Times New Roman" w:cs="Times New Roman"/>
          <w:sz w:val="24"/>
          <w:szCs w:val="24"/>
        </w:rPr>
        <w:t>level, that</w:t>
      </w:r>
      <w:proofErr w:type="gramEnd"/>
      <w:r>
        <w:rPr>
          <w:rFonts w:ascii="Times New Roman" w:eastAsia="Times New Roman" w:hAnsi="Times New Roman" w:cs="Times New Roman"/>
          <w:sz w:val="24"/>
          <w:szCs w:val="24"/>
        </w:rPr>
        <w:t xml:space="preserve"> is socialized and encouraged at all levels of society. For example, when children are hungry and their parents are deciding where to eat, the young ones should be able to offer their opinion and suggest McDonald’s or </w:t>
      </w:r>
      <w:proofErr w:type="gramStart"/>
      <w:r>
        <w:rPr>
          <w:rFonts w:ascii="Times New Roman" w:eastAsia="Times New Roman" w:hAnsi="Times New Roman" w:cs="Times New Roman"/>
          <w:sz w:val="24"/>
          <w:szCs w:val="24"/>
        </w:rPr>
        <w:t>In-N-Out</w:t>
      </w:r>
      <w:proofErr w:type="gramEnd"/>
      <w:r>
        <w:rPr>
          <w:rFonts w:ascii="Times New Roman" w:eastAsia="Times New Roman" w:hAnsi="Times New Roman" w:cs="Times New Roman"/>
          <w:sz w:val="24"/>
          <w:szCs w:val="24"/>
        </w:rPr>
        <w:t xml:space="preserve">. In a well-functioning democracy, participation is a learned virtue. Decisions affect the community, so members are encouraged to share their perspectives. Democratic participation ensures that all citizen voices are weighed equality and given due consideration. In order to affect change, communication becomes critical. Dewey was optimistic about new forms of communication for democracy, but he lacked foresight. </w:t>
      </w:r>
      <w:proofErr w:type="gramStart"/>
      <w:r>
        <w:rPr>
          <w:rFonts w:ascii="Times New Roman" w:eastAsia="Times New Roman" w:hAnsi="Times New Roman" w:cs="Times New Roman"/>
          <w:sz w:val="24"/>
          <w:szCs w:val="24"/>
        </w:rPr>
        <w:t>He could not have predicted the onslaught of social media, and thus does not provide any practical solutions for a society preoccupied by digital technology.</w:t>
      </w:r>
      <w:proofErr w:type="gramEnd"/>
      <w:r>
        <w:rPr>
          <w:rFonts w:ascii="Times New Roman" w:eastAsia="Times New Roman" w:hAnsi="Times New Roman" w:cs="Times New Roman"/>
          <w:sz w:val="24"/>
          <w:szCs w:val="24"/>
        </w:rPr>
        <w:t xml:space="preserve"> However, if Dewey was correct in that communication is integral in the construction of the Great Community, it follows that social media </w:t>
      </w:r>
      <w:proofErr w:type="gramStart"/>
      <w:r>
        <w:rPr>
          <w:rFonts w:ascii="Times New Roman" w:eastAsia="Times New Roman" w:hAnsi="Times New Roman" w:cs="Times New Roman"/>
          <w:sz w:val="24"/>
          <w:szCs w:val="24"/>
        </w:rPr>
        <w:t>must be democratized</w:t>
      </w:r>
      <w:proofErr w:type="gramEnd"/>
      <w:r>
        <w:rPr>
          <w:rFonts w:ascii="Times New Roman" w:eastAsia="Times New Roman" w:hAnsi="Times New Roman" w:cs="Times New Roman"/>
          <w:sz w:val="24"/>
          <w:szCs w:val="24"/>
        </w:rPr>
        <w:t>. For instance, in its modern form it requires users to “follow” others, creating a hierarchy of power. Those with more followers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are perceived to have higher social status and their ideas reach a larger audience than users who have less followers, and hence less influence. For Dewey, this system would need to </w:t>
      </w:r>
      <w:proofErr w:type="gramStart"/>
      <w:r>
        <w:rPr>
          <w:rFonts w:ascii="Times New Roman" w:eastAsia="Times New Roman" w:hAnsi="Times New Roman" w:cs="Times New Roman"/>
          <w:sz w:val="24"/>
          <w:szCs w:val="24"/>
        </w:rPr>
        <w:t>be democratized</w:t>
      </w:r>
      <w:proofErr w:type="gramEnd"/>
      <w:r>
        <w:rPr>
          <w:rFonts w:ascii="Times New Roman" w:eastAsia="Times New Roman" w:hAnsi="Times New Roman" w:cs="Times New Roman"/>
          <w:sz w:val="24"/>
          <w:szCs w:val="24"/>
        </w:rPr>
        <w:t xml:space="preserve"> in order to represent everyone in the community. In order to curtail the influence of Big Tech, they </w:t>
      </w:r>
      <w:proofErr w:type="gramStart"/>
      <w:r>
        <w:rPr>
          <w:rFonts w:ascii="Times New Roman" w:eastAsia="Times New Roman" w:hAnsi="Times New Roman" w:cs="Times New Roman"/>
          <w:sz w:val="24"/>
          <w:szCs w:val="24"/>
        </w:rPr>
        <w:t>must be regulated</w:t>
      </w:r>
      <w:proofErr w:type="gramEnd"/>
      <w:r>
        <w:rPr>
          <w:rFonts w:ascii="Times New Roman" w:eastAsia="Times New Roman" w:hAnsi="Times New Roman" w:cs="Times New Roman"/>
          <w:sz w:val="24"/>
          <w:szCs w:val="24"/>
        </w:rPr>
        <w:t>. This can either take the form of government regulation, self-regulation, or a combination of the two.</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Government Regulation</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Silicon Valley technology companies have become too influential without substantial government intervention. Mark Zuckerberg, the CEO of Facebook, testified in front of the Senate Judiciary Committee on April </w:t>
      </w:r>
      <w:proofErr w:type="gramStart"/>
      <w:r>
        <w:rPr>
          <w:rFonts w:ascii="Times New Roman" w:eastAsia="Times New Roman" w:hAnsi="Times New Roman" w:cs="Times New Roman"/>
          <w:sz w:val="24"/>
          <w:szCs w:val="24"/>
        </w:rPr>
        <w:t>10th</w:t>
      </w:r>
      <w:proofErr w:type="gramEnd"/>
      <w:r>
        <w:rPr>
          <w:rFonts w:ascii="Times New Roman" w:eastAsia="Times New Roman" w:hAnsi="Times New Roman" w:cs="Times New Roman"/>
          <w:sz w:val="24"/>
          <w:szCs w:val="24"/>
        </w:rPr>
        <w:t xml:space="preserve">, 2018 to answer questions about user privacy and data, spurred </w:t>
      </w:r>
      <w:r>
        <w:rPr>
          <w:rFonts w:ascii="Times New Roman" w:eastAsia="Times New Roman" w:hAnsi="Times New Roman" w:cs="Times New Roman"/>
          <w:sz w:val="24"/>
          <w:szCs w:val="24"/>
        </w:rPr>
        <w:lastRenderedPageBreak/>
        <w:t xml:space="preserve">by the Cambridge Analytica Scandal. In the hearing, Senator Lindsey Graham of South Carolina asked Zuckerberg, “You don’t think you have a monopoly?” To which the CEO replied, “It certainly doesn’t feel that way to me” (The Facebook Dilemma, 2018). </w:t>
      </w:r>
      <w:proofErr w:type="gramStart"/>
      <w:r>
        <w:rPr>
          <w:rFonts w:ascii="Times New Roman" w:eastAsia="Times New Roman" w:hAnsi="Times New Roman" w:cs="Times New Roman"/>
          <w:sz w:val="24"/>
          <w:szCs w:val="24"/>
        </w:rPr>
        <w:t>This response was met with laughter by the audience</w:t>
      </w:r>
      <w:proofErr w:type="gramEnd"/>
      <w:r>
        <w:rPr>
          <w:rFonts w:ascii="Times New Roman" w:eastAsia="Times New Roman" w:hAnsi="Times New Roman" w:cs="Times New Roman"/>
          <w:sz w:val="24"/>
          <w:szCs w:val="24"/>
        </w:rPr>
        <w:t>, as it was demonstrably false. Facebook has over two billion active monthly users, meaning over one-fourth of the global population regularly uses the website. There are no alternatives to these tech giants: if someone buys a Ford pick-up truck and they do not like it, they can trade in that car for a Chevrolet. If someone does not like Facebook, there are no equivalent substitutes.</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Paradoxically, Big Tech companies do not fit the standard definition of a monopoly. Traditional antitrust cases rely on the consumer welfare standard. In the past, monopolies </w:t>
      </w:r>
      <w:proofErr w:type="gramStart"/>
      <w:r>
        <w:rPr>
          <w:rFonts w:ascii="Times New Roman" w:eastAsia="Times New Roman" w:hAnsi="Times New Roman" w:cs="Times New Roman"/>
          <w:sz w:val="24"/>
          <w:szCs w:val="24"/>
        </w:rPr>
        <w:t>were thought</w:t>
      </w:r>
      <w:proofErr w:type="gramEnd"/>
      <w:r>
        <w:rPr>
          <w:rFonts w:ascii="Times New Roman" w:eastAsia="Times New Roman" w:hAnsi="Times New Roman" w:cs="Times New Roman"/>
          <w:sz w:val="24"/>
          <w:szCs w:val="24"/>
        </w:rPr>
        <w:t xml:space="preserve"> of as dangerous to the economy because they had the potential to corner a market and unilaterally raise prices, thus reducing overall consumer welfare. However, social media platforms do not charge users to utilize their services. They make money by monopolizing attention and reselling it to advertisers. This is a confounding issue for the courts, and as such, they </w:t>
      </w:r>
      <w:proofErr w:type="gramStart"/>
      <w:r>
        <w:rPr>
          <w:rFonts w:ascii="Times New Roman" w:eastAsia="Times New Roman" w:hAnsi="Times New Roman" w:cs="Times New Roman"/>
          <w:sz w:val="24"/>
          <w:szCs w:val="24"/>
        </w:rPr>
        <w:t>are not currently seen</w:t>
      </w:r>
      <w:proofErr w:type="gramEnd"/>
      <w:r>
        <w:rPr>
          <w:rFonts w:ascii="Times New Roman" w:eastAsia="Times New Roman" w:hAnsi="Times New Roman" w:cs="Times New Roman"/>
          <w:sz w:val="24"/>
          <w:szCs w:val="24"/>
        </w:rPr>
        <w:t xml:space="preserve"> as monopolies by regulatory authorities (Wu, 2017).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Regulation could then take the form of government oversight. Franklin Foer calls for a Data Protection Authority that would supervise corporations to “protect privacy and the free flow of information”</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(Foer, 2018, p. 181). In the Internet Age, privacy </w:t>
      </w:r>
      <w:proofErr w:type="gramStart"/>
      <w:r>
        <w:rPr>
          <w:rFonts w:ascii="Times New Roman" w:eastAsia="Times New Roman" w:hAnsi="Times New Roman" w:cs="Times New Roman"/>
          <w:sz w:val="24"/>
          <w:szCs w:val="24"/>
        </w:rPr>
        <w:t>has been eviscerated</w:t>
      </w:r>
      <w:proofErr w:type="gramEnd"/>
      <w:r>
        <w:rPr>
          <w:rFonts w:ascii="Times New Roman" w:eastAsia="Times New Roman" w:hAnsi="Times New Roman" w:cs="Times New Roman"/>
          <w:sz w:val="24"/>
          <w:szCs w:val="24"/>
        </w:rPr>
        <w:t xml:space="preserve"> for convenience. With companies intimately tracking users every keystroke, it is vital that the data used in their algorithms </w:t>
      </w:r>
      <w:proofErr w:type="gramStart"/>
      <w:r>
        <w:rPr>
          <w:rFonts w:ascii="Times New Roman" w:eastAsia="Times New Roman" w:hAnsi="Times New Roman" w:cs="Times New Roman"/>
          <w:sz w:val="24"/>
          <w:szCs w:val="24"/>
        </w:rPr>
        <w:t>is safeguarded</w:t>
      </w:r>
      <w:proofErr w:type="gramEnd"/>
      <w:r>
        <w:rPr>
          <w:rFonts w:ascii="Times New Roman" w:eastAsia="Times New Roman" w:hAnsi="Times New Roman" w:cs="Times New Roman"/>
          <w:sz w:val="24"/>
          <w:szCs w:val="24"/>
        </w:rPr>
        <w:t xml:space="preserve"> against malpractice. Furthermore, Section 230 of the 1996 Communications Decency Act </w:t>
      </w:r>
      <w:proofErr w:type="gramStart"/>
      <w:r>
        <w:rPr>
          <w:rFonts w:ascii="Times New Roman" w:eastAsia="Times New Roman" w:hAnsi="Times New Roman" w:cs="Times New Roman"/>
          <w:sz w:val="24"/>
          <w:szCs w:val="24"/>
        </w:rPr>
        <w:t>maintains that</w:t>
      </w:r>
      <w:proofErr w:type="gramEnd"/>
      <w:r>
        <w:rPr>
          <w:rFonts w:ascii="Times New Roman" w:eastAsia="Times New Roman" w:hAnsi="Times New Roman" w:cs="Times New Roman"/>
          <w:sz w:val="24"/>
          <w:szCs w:val="24"/>
        </w:rPr>
        <w:t xml:space="preserve"> “no provider or user of an interactive computer service shall be treated as the publisher or speaker of any information provided by another information content provider” (47 U.S. Code 230). In other words, platforms like Google, Facebook, and Twitter </w:t>
      </w:r>
      <w:proofErr w:type="gramStart"/>
      <w:r>
        <w:rPr>
          <w:rFonts w:ascii="Times New Roman" w:eastAsia="Times New Roman" w:hAnsi="Times New Roman" w:cs="Times New Roman"/>
          <w:sz w:val="24"/>
          <w:szCs w:val="24"/>
        </w:rPr>
        <w:t>cannot be held</w:t>
      </w:r>
      <w:proofErr w:type="gramEnd"/>
      <w:r>
        <w:rPr>
          <w:rFonts w:ascii="Times New Roman" w:eastAsia="Times New Roman" w:hAnsi="Times New Roman" w:cs="Times New Roman"/>
          <w:sz w:val="24"/>
          <w:szCs w:val="24"/>
        </w:rPr>
        <w:t xml:space="preserve"> responsible for the content that is posted on their websites. </w:t>
      </w:r>
      <w:r>
        <w:rPr>
          <w:rFonts w:ascii="Times New Roman" w:eastAsia="Times New Roman" w:hAnsi="Times New Roman" w:cs="Times New Roman"/>
          <w:sz w:val="24"/>
          <w:szCs w:val="24"/>
        </w:rPr>
        <w:lastRenderedPageBreak/>
        <w:t xml:space="preserve">They </w:t>
      </w:r>
      <w:proofErr w:type="gramStart"/>
      <w:r>
        <w:rPr>
          <w:rFonts w:ascii="Times New Roman" w:eastAsia="Times New Roman" w:hAnsi="Times New Roman" w:cs="Times New Roman"/>
          <w:sz w:val="24"/>
          <w:szCs w:val="24"/>
        </w:rPr>
        <w:t>are left</w:t>
      </w:r>
      <w:proofErr w:type="gramEnd"/>
      <w:r>
        <w:rPr>
          <w:rFonts w:ascii="Times New Roman" w:eastAsia="Times New Roman" w:hAnsi="Times New Roman" w:cs="Times New Roman"/>
          <w:sz w:val="24"/>
          <w:szCs w:val="24"/>
        </w:rPr>
        <w:t xml:space="preserve"> to police their own speech through Terms and Conditions agreements. As such, they are able to supplement the Constitution and regulate virtual speech. They are free to place restrictions on political speech, and even ban it altogether (Feiner, 2019). Online companies therefore elude responsibility for reprehensible language, even when it incites violence or targets a certain group. When online companies become complicit in violence, human rights abuses, and genocide, speech </w:t>
      </w:r>
      <w:proofErr w:type="gramStart"/>
      <w:r>
        <w:rPr>
          <w:rFonts w:ascii="Times New Roman" w:eastAsia="Times New Roman" w:hAnsi="Times New Roman" w:cs="Times New Roman"/>
          <w:sz w:val="24"/>
          <w:szCs w:val="24"/>
        </w:rPr>
        <w:t>must be regulated</w:t>
      </w:r>
      <w:proofErr w:type="gramEnd"/>
      <w:r>
        <w:rPr>
          <w:rFonts w:ascii="Times New Roman" w:eastAsia="Times New Roman" w:hAnsi="Times New Roman" w:cs="Times New Roman"/>
          <w:sz w:val="24"/>
          <w:szCs w:val="24"/>
        </w:rPr>
        <w:t xml:space="preserve"> and the companies held accountable.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 U.S. Government could enact legislation to protect against false and misleading information. Disinformation has become a powerful weapon to propagandize news and radicalize a public. This exploits a cornerstone of democracy: access to reliable information in order to form opinions on political issues. When elections are hijacked by </w:t>
      </w:r>
      <w:proofErr w:type="gramStart"/>
      <w:r>
        <w:rPr>
          <w:rFonts w:ascii="Times New Roman" w:eastAsia="Times New Roman" w:hAnsi="Times New Roman" w:cs="Times New Roman"/>
          <w:sz w:val="24"/>
          <w:szCs w:val="24"/>
        </w:rPr>
        <w:t>hyper-partisan and false news stories, voters cannot make rational decisions</w:t>
      </w:r>
      <w:proofErr w:type="gramEnd"/>
      <w:r>
        <w:rPr>
          <w:rFonts w:ascii="Times New Roman" w:eastAsia="Times New Roman" w:hAnsi="Times New Roman" w:cs="Times New Roman"/>
          <w:sz w:val="24"/>
          <w:szCs w:val="24"/>
        </w:rPr>
        <w:t xml:space="preserve"> and democracy is severely undermined.</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Self-Regulation</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has been hesitant to place restrictions on tech companies, and therefore self-regulation is a potential alternative. Cass Sunstein proposes an “architecture of serendipity” in order to counteract online homophily (Sunstein, 2017, p. 5). This would require platforms to modify their algorithms to show users viewpoints that they otherwise would not seek out themselves. Perhaps by exposing liberals to articles in the </w:t>
      </w:r>
      <w:r>
        <w:rPr>
          <w:rFonts w:ascii="Times New Roman" w:eastAsia="Times New Roman" w:hAnsi="Times New Roman" w:cs="Times New Roman"/>
          <w:i/>
          <w:sz w:val="24"/>
          <w:szCs w:val="24"/>
        </w:rPr>
        <w:t>Wall Street Journal,</w:t>
      </w:r>
      <w:r>
        <w:rPr>
          <w:rFonts w:ascii="Times New Roman" w:eastAsia="Times New Roman" w:hAnsi="Times New Roman" w:cs="Times New Roman"/>
          <w:sz w:val="24"/>
          <w:szCs w:val="24"/>
        </w:rPr>
        <w:t xml:space="preserve"> and conservatives to </w:t>
      </w:r>
      <w:r>
        <w:rPr>
          <w:rFonts w:ascii="Times New Roman" w:eastAsia="Times New Roman" w:hAnsi="Times New Roman" w:cs="Times New Roman"/>
          <w:i/>
          <w:sz w:val="24"/>
          <w:szCs w:val="24"/>
        </w:rPr>
        <w:t>MSNBC</w:t>
      </w:r>
      <w:r>
        <w:rPr>
          <w:rFonts w:ascii="Times New Roman" w:eastAsia="Times New Roman" w:hAnsi="Times New Roman" w:cs="Times New Roman"/>
          <w:sz w:val="24"/>
          <w:szCs w:val="24"/>
        </w:rPr>
        <w:t xml:space="preserve">, Americans will understand how others on the political spectrum are thinking, thereby reducing the chasm between the political universes of left and right. This would constrain individual freedom as it would force users out of </w:t>
      </w:r>
      <w:proofErr w:type="gramStart"/>
      <w:r>
        <w:rPr>
          <w:rFonts w:ascii="Times New Roman" w:eastAsia="Times New Roman" w:hAnsi="Times New Roman" w:cs="Times New Roman"/>
          <w:sz w:val="24"/>
          <w:szCs w:val="24"/>
        </w:rPr>
        <w:t>echo-chambers</w:t>
      </w:r>
      <w:proofErr w:type="gramEnd"/>
      <w:r>
        <w:rPr>
          <w:rFonts w:ascii="Times New Roman" w:eastAsia="Times New Roman" w:hAnsi="Times New Roman" w:cs="Times New Roman"/>
          <w:sz w:val="24"/>
          <w:szCs w:val="24"/>
        </w:rPr>
        <w:t xml:space="preserve">, but it could also reduce polarization. Yet, this is only a first step. Tech giants would lose revenue if they made sweeping changes to their algorithms. They rely on the monopolization of attention for advertising revenue, and their stock value is largely a component of the number of their active monthly users. They </w:t>
      </w:r>
      <w:r>
        <w:rPr>
          <w:rFonts w:ascii="Times New Roman" w:eastAsia="Times New Roman" w:hAnsi="Times New Roman" w:cs="Times New Roman"/>
          <w:sz w:val="24"/>
          <w:szCs w:val="24"/>
        </w:rPr>
        <w:lastRenderedPageBreak/>
        <w:t>benefit from keeping users absorbed in their software. If they were to crack down on bots, fake news, and outrage, engagement would drop, resulting in less money for their shareholders.</w:t>
      </w:r>
    </w:p>
    <w:p w:rsidR="007F459E"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technology activists have therefore called for ethical design. Tristan Harris, a former design ethicist at Google, argues that Big Tech companies must create products that </w:t>
      </w:r>
      <w:proofErr w:type="gramStart"/>
      <w:r>
        <w:rPr>
          <w:rFonts w:ascii="Times New Roman" w:eastAsia="Times New Roman" w:hAnsi="Times New Roman" w:cs="Times New Roman"/>
          <w:sz w:val="24"/>
          <w:szCs w:val="24"/>
        </w:rPr>
        <w:t>are not designed</w:t>
      </w:r>
      <w:proofErr w:type="gramEnd"/>
      <w:r>
        <w:rPr>
          <w:rFonts w:ascii="Times New Roman" w:eastAsia="Times New Roman" w:hAnsi="Times New Roman" w:cs="Times New Roman"/>
          <w:sz w:val="24"/>
          <w:szCs w:val="24"/>
        </w:rPr>
        <w:t xml:space="preserve"> to be addictive, and they should use their data and algorithms to benefit society. For example, in the current system, if someone chooses to post something controversial on social media, the platform will spread that message to reach a wide audience because “the very things that divide us most, cause the most engagement” (The Facebook Dilemma, 2018). In Harris’ vision, the website may suggest hosting a dinner party in order to discuss the issue in person with close friends. In doing so, online polarization would decrease and meaningful human interaction would flourish. </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this view of Big Tech is naive and idealistic. It assumes that technology firms are altruistic, when in reality, they would not engage in business practices that would lower the value of their companies. Still, these companies have the power to modify the behaviors and influence the emotions of over two billion people, and this responsibility should not be taken lightly.Perhaps the most effective solution is to restore agency to individuals. Foer </w:t>
      </w:r>
      <w:proofErr w:type="gramStart"/>
      <w:r>
        <w:rPr>
          <w:rFonts w:ascii="Times New Roman" w:eastAsia="Times New Roman" w:hAnsi="Times New Roman" w:cs="Times New Roman"/>
          <w:sz w:val="24"/>
          <w:szCs w:val="24"/>
        </w:rPr>
        <w:t>argues that</w:t>
      </w:r>
      <w:proofErr w:type="gramEnd"/>
      <w:r>
        <w:rPr>
          <w:rFonts w:ascii="Times New Roman" w:eastAsia="Times New Roman" w:hAnsi="Times New Roman" w:cs="Times New Roman"/>
          <w:sz w:val="24"/>
          <w:szCs w:val="24"/>
        </w:rPr>
        <w:t xml:space="preserve"> “we have deluded ourselves into caring more deeply about convenience and efficiency than about the things that last” (Foer, 2018, p. 206). As such, the possibility of contemplation is slipping away. Though it is not yet destroyed, individuals must retain the requisite freedom required for a democratic Great Community.</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Dewey’s Nightmare</w:t>
      </w:r>
    </w:p>
    <w:p w:rsidR="00C30C8B" w:rsidRDefault="001E516C" w:rsidP="007F459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media represents a great threat to Deweyan democracy. It has further politicized the discourse due to its </w:t>
      </w:r>
      <w:proofErr w:type="gramStart"/>
      <w:r>
        <w:rPr>
          <w:rFonts w:ascii="Times New Roman" w:eastAsia="Times New Roman" w:hAnsi="Times New Roman" w:cs="Times New Roman"/>
          <w:sz w:val="24"/>
          <w:szCs w:val="24"/>
        </w:rPr>
        <w:t>algorithmically-driven</w:t>
      </w:r>
      <w:proofErr w:type="gramEnd"/>
      <w:r>
        <w:rPr>
          <w:rFonts w:ascii="Times New Roman" w:eastAsia="Times New Roman" w:hAnsi="Times New Roman" w:cs="Times New Roman"/>
          <w:sz w:val="24"/>
          <w:szCs w:val="24"/>
        </w:rPr>
        <w:t xml:space="preserve"> business model that seeks to maximize engagement, not constructive discussion. Attention is the currency of social media; political stability is an afterthought. Social media gives incredible power to outside groups, and the platforms themselves. </w:t>
      </w:r>
      <w:r>
        <w:rPr>
          <w:rFonts w:ascii="Times New Roman" w:eastAsia="Times New Roman" w:hAnsi="Times New Roman" w:cs="Times New Roman"/>
          <w:sz w:val="24"/>
          <w:szCs w:val="24"/>
        </w:rPr>
        <w:lastRenderedPageBreak/>
        <w:t xml:space="preserve">The ability to affect mass persuasion through the internet is a source of immense power, and the lack of governmental regulation is ripe for abuse. However, social media has the potential to serve as a democratizing force in society. It can benefit communities and provide a forum for political deliberation, thus bolstering the Great Community. It can enhance democracy through better oversight and design, yet until it does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it forebodes danger for the political system.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world has become John Dewey’s nightmare. Dewey had two visions for the prospects of technology in American democracy. In the first, technology would introduce new hardships into society, but after a number of years, individuals would overcome these problems and technology would enhance democratic participation. In his second vision, technology would reduce life to meaningless distraction. Dewey saw glimpses of this with the rise of the mass media, but he would not be able to recognize the modern world. From digital currencies to artificial intelligence, the world has undergone a massive technological transformation since his rudimentary analysis. The place of modern technology in American society would represent Dewey’s dystopian vision. Instead of encouraging democratic engagement, citizens </w:t>
      </w:r>
      <w:proofErr w:type="gramStart"/>
      <w:r>
        <w:rPr>
          <w:rFonts w:ascii="Times New Roman" w:eastAsia="Times New Roman" w:hAnsi="Times New Roman" w:cs="Times New Roman"/>
          <w:sz w:val="24"/>
          <w:szCs w:val="24"/>
        </w:rPr>
        <w:t>are distracted</w:t>
      </w:r>
      <w:proofErr w:type="gramEnd"/>
      <w:r>
        <w:rPr>
          <w:rFonts w:ascii="Times New Roman" w:eastAsia="Times New Roman" w:hAnsi="Times New Roman" w:cs="Times New Roman"/>
          <w:sz w:val="24"/>
          <w:szCs w:val="24"/>
        </w:rPr>
        <w:t xml:space="preserve"> by trivial amusements. Americans are losing the ability </w:t>
      </w:r>
      <w:proofErr w:type="gramStart"/>
      <w:r>
        <w:rPr>
          <w:rFonts w:ascii="Times New Roman" w:eastAsia="Times New Roman" w:hAnsi="Times New Roman" w:cs="Times New Roman"/>
          <w:sz w:val="24"/>
          <w:szCs w:val="24"/>
        </w:rPr>
        <w:t>to personally interact</w:t>
      </w:r>
      <w:proofErr w:type="gramEnd"/>
      <w:r>
        <w:rPr>
          <w:rFonts w:ascii="Times New Roman" w:eastAsia="Times New Roman" w:hAnsi="Times New Roman" w:cs="Times New Roman"/>
          <w:sz w:val="24"/>
          <w:szCs w:val="24"/>
        </w:rPr>
        <w:t xml:space="preserve"> with each other, as they have become more comfortable scrolling through a news feed rather than striking up a conversation. The rise of the distracted generation represents the greatest threat to Deweyan democracy. When scrolling alone, democracy ceases to be effective as communication </w:t>
      </w:r>
      <w:proofErr w:type="gramStart"/>
      <w:r>
        <w:rPr>
          <w:rFonts w:ascii="Times New Roman" w:eastAsia="Times New Roman" w:hAnsi="Times New Roman" w:cs="Times New Roman"/>
          <w:sz w:val="24"/>
          <w:szCs w:val="24"/>
        </w:rPr>
        <w:t>becomes distorted</w:t>
      </w:r>
      <w:proofErr w:type="gramEnd"/>
      <w:r>
        <w:rPr>
          <w:rFonts w:ascii="Times New Roman" w:eastAsia="Times New Roman" w:hAnsi="Times New Roman" w:cs="Times New Roman"/>
          <w:sz w:val="24"/>
          <w:szCs w:val="24"/>
        </w:rPr>
        <w:t xml:space="preserve"> through the glass of a screen.</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30C8B" w:rsidRDefault="00C30C8B" w:rsidP="001E516C">
      <w:pPr>
        <w:spacing w:line="480" w:lineRule="auto"/>
        <w:jc w:val="both"/>
        <w:rPr>
          <w:rFonts w:ascii="Times New Roman" w:eastAsia="Times New Roman" w:hAnsi="Times New Roman" w:cs="Times New Roman"/>
          <w:sz w:val="24"/>
          <w:szCs w:val="24"/>
        </w:rPr>
      </w:pPr>
    </w:p>
    <w:p w:rsidR="00C30C8B" w:rsidRDefault="00C30C8B" w:rsidP="001E516C">
      <w:pPr>
        <w:spacing w:line="480" w:lineRule="auto"/>
        <w:jc w:val="both"/>
        <w:rPr>
          <w:rFonts w:ascii="Times New Roman" w:eastAsia="Times New Roman" w:hAnsi="Times New Roman" w:cs="Times New Roman"/>
          <w:sz w:val="24"/>
          <w:szCs w:val="24"/>
        </w:rPr>
      </w:pPr>
    </w:p>
    <w:p w:rsidR="00C30C8B" w:rsidRDefault="00C30C8B" w:rsidP="001E516C">
      <w:pPr>
        <w:spacing w:line="480" w:lineRule="auto"/>
        <w:jc w:val="both"/>
        <w:rPr>
          <w:rFonts w:ascii="Times New Roman" w:eastAsia="Times New Roman" w:hAnsi="Times New Roman" w:cs="Times New Roman"/>
          <w:sz w:val="24"/>
          <w:szCs w:val="24"/>
        </w:rPr>
      </w:pPr>
    </w:p>
    <w:p w:rsidR="00C30C8B" w:rsidRDefault="00C30C8B" w:rsidP="001E516C">
      <w:pPr>
        <w:spacing w:line="480" w:lineRule="auto"/>
        <w:jc w:val="both"/>
        <w:rPr>
          <w:rFonts w:ascii="Times New Roman" w:eastAsia="Times New Roman" w:hAnsi="Times New Roman" w:cs="Times New Roman"/>
          <w:sz w:val="24"/>
          <w:szCs w:val="24"/>
        </w:rPr>
      </w:pPr>
    </w:p>
    <w:p w:rsidR="00C30C8B" w:rsidRDefault="00C30C8B" w:rsidP="001E516C">
      <w:pPr>
        <w:spacing w:line="480" w:lineRule="auto"/>
        <w:jc w:val="both"/>
        <w:rPr>
          <w:rFonts w:ascii="Times New Roman" w:eastAsia="Times New Roman" w:hAnsi="Times New Roman" w:cs="Times New Roman"/>
          <w:sz w:val="24"/>
          <w:szCs w:val="24"/>
        </w:rPr>
      </w:pPr>
    </w:p>
    <w:p w:rsidR="00C30C8B" w:rsidRDefault="007F45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Bibliography</w:t>
      </w:r>
    </w:p>
    <w:p w:rsidR="001E516C" w:rsidRDefault="001E516C">
      <w:pPr>
        <w:jc w:val="cente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 U.S. Code § </w:t>
      </w:r>
      <w:proofErr w:type="gramStart"/>
      <w:r>
        <w:rPr>
          <w:rFonts w:ascii="Times New Roman" w:eastAsia="Times New Roman" w:hAnsi="Times New Roman" w:cs="Times New Roman"/>
          <w:sz w:val="24"/>
          <w:szCs w:val="24"/>
        </w:rPr>
        <w:t>230.,</w:t>
      </w:r>
      <w:proofErr w:type="gramEnd"/>
      <w:r>
        <w:rPr>
          <w:rFonts w:ascii="Times New Roman" w:eastAsia="Times New Roman" w:hAnsi="Times New Roman" w:cs="Times New Roman"/>
          <w:sz w:val="24"/>
          <w:szCs w:val="24"/>
        </w:rPr>
        <w:t xml:space="preserve"> 47 § 230. Bakshy, E., Messing, S., &amp; Adamic, L. A. (2015). Exposure to ideologically diverse news and opinion on Facebook. </w:t>
      </w:r>
      <w:r>
        <w:rPr>
          <w:rFonts w:ascii="Times New Roman" w:eastAsia="Times New Roman" w:hAnsi="Times New Roman" w:cs="Times New Roman"/>
          <w:i/>
          <w:sz w:val="24"/>
          <w:szCs w:val="24"/>
        </w:rPr>
        <w:t>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348</w:t>
      </w:r>
      <w:r>
        <w:rPr>
          <w:rFonts w:ascii="Times New Roman" w:eastAsia="Times New Roman" w:hAnsi="Times New Roman" w:cs="Times New Roman"/>
          <w:sz w:val="24"/>
          <w:szCs w:val="24"/>
        </w:rPr>
        <w:t>(6239), 1130–1132.</w:t>
      </w:r>
      <w:hyperlink r:id="rId91">
        <w:r>
          <w:rPr>
            <w:rFonts w:ascii="Times New Roman" w:eastAsia="Times New Roman" w:hAnsi="Times New Roman" w:cs="Times New Roman"/>
            <w:sz w:val="24"/>
            <w:szCs w:val="24"/>
          </w:rPr>
          <w:t xml:space="preserve"> </w:t>
        </w:r>
      </w:hyperlink>
    </w:p>
    <w:p w:rsidR="00C30C8B" w:rsidRDefault="002305CD">
      <w:pPr>
        <w:rPr>
          <w:rFonts w:ascii="Times New Roman" w:eastAsia="Times New Roman" w:hAnsi="Times New Roman" w:cs="Times New Roman"/>
          <w:color w:val="1155CC"/>
          <w:sz w:val="24"/>
          <w:szCs w:val="24"/>
          <w:u w:val="single"/>
        </w:rPr>
      </w:pPr>
      <w:hyperlink r:id="rId92">
        <w:r w:rsidR="001E516C">
          <w:rPr>
            <w:rFonts w:ascii="Times New Roman" w:eastAsia="Times New Roman" w:hAnsi="Times New Roman" w:cs="Times New Roman"/>
            <w:color w:val="0000FF"/>
            <w:sz w:val="24"/>
            <w:szCs w:val="24"/>
            <w:u w:val="single"/>
          </w:rPr>
          <w:t>https://doi.org/10.1126/science.aaa1160</w:t>
        </w:r>
      </w:hyperlink>
    </w:p>
    <w:p w:rsidR="00C30C8B" w:rsidRDefault="00C30C8B">
      <w:pPr>
        <w:rPr>
          <w:rFonts w:ascii="Times New Roman" w:eastAsia="Times New Roman" w:hAnsi="Times New Roman" w:cs="Times New Roman"/>
          <w:color w:val="1155CC"/>
          <w:sz w:val="24"/>
          <w:szCs w:val="24"/>
          <w:u w:val="single"/>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Bond, R. M., Fariss, C. J., Jones, J. J., Kramer, A. D. I., Marlow, C., Settle, J. E., &amp; Fowler, J. H. </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(2012). A 61-million-person experiment in social influence and political mobilization. </w:t>
      </w:r>
    </w:p>
    <w:p w:rsidR="00C30C8B" w:rsidRDefault="001E516C">
      <w:pPr>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Nature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489</w:t>
      </w:r>
      <w:r>
        <w:rPr>
          <w:rFonts w:ascii="Times New Roman" w:eastAsia="Times New Roman" w:hAnsi="Times New Roman" w:cs="Times New Roman"/>
          <w:sz w:val="24"/>
          <w:szCs w:val="24"/>
        </w:rPr>
        <w:t>(7415), 295–298.</w:t>
      </w:r>
      <w:hyperlink r:id="rId93">
        <w:r>
          <w:rPr>
            <w:rFonts w:ascii="Times New Roman" w:eastAsia="Times New Roman" w:hAnsi="Times New Roman" w:cs="Times New Roman"/>
            <w:sz w:val="24"/>
            <w:szCs w:val="24"/>
          </w:rPr>
          <w:t xml:space="preserve"> </w:t>
        </w:r>
      </w:hyperlink>
      <w:hyperlink r:id="rId94">
        <w:r>
          <w:rPr>
            <w:rFonts w:ascii="Times New Roman" w:eastAsia="Times New Roman" w:hAnsi="Times New Roman" w:cs="Times New Roman"/>
            <w:color w:val="1155CC"/>
            <w:sz w:val="24"/>
            <w:szCs w:val="24"/>
            <w:u w:val="single"/>
          </w:rPr>
          <w:t>https://doi.org/10.1038/nature11421</w:t>
        </w:r>
      </w:hyperlink>
    </w:p>
    <w:p w:rsidR="00C30C8B" w:rsidRDefault="00C30C8B">
      <w:pPr>
        <w:rPr>
          <w:rFonts w:ascii="Times New Roman" w:eastAsia="Times New Roman" w:hAnsi="Times New Roman" w:cs="Times New Roman"/>
          <w:color w:val="1155CC"/>
          <w:sz w:val="24"/>
          <w:szCs w:val="24"/>
          <w:u w:val="single"/>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Boxell, L., Gentzkow, M., &amp; Shapiro, J. M. (2017). Greater internet use is not associated with </w:t>
      </w:r>
    </w:p>
    <w:p w:rsidR="00C30C8B" w:rsidRDefault="001E516C">
      <w:pPr>
        <w:rPr>
          <w:rFonts w:ascii="Times New Roman" w:eastAsia="Times New Roman" w:hAnsi="Times New Roman" w:cs="Times New Roman"/>
          <w:i/>
          <w:sz w:val="24"/>
          <w:szCs w:val="24"/>
        </w:rPr>
      </w:pPr>
      <w:proofErr w:type="gramStart"/>
      <w:r>
        <w:rPr>
          <w:rFonts w:ascii="Times New Roman" w:eastAsia="Times New Roman" w:hAnsi="Times New Roman" w:cs="Times New Roman"/>
          <w:sz w:val="24"/>
          <w:szCs w:val="24"/>
        </w:rPr>
        <w:t>faster</w:t>
      </w:r>
      <w:proofErr w:type="gramEnd"/>
      <w:r>
        <w:rPr>
          <w:rFonts w:ascii="Times New Roman" w:eastAsia="Times New Roman" w:hAnsi="Times New Roman" w:cs="Times New Roman"/>
          <w:sz w:val="24"/>
          <w:szCs w:val="24"/>
        </w:rPr>
        <w:t xml:space="preserve"> growth in political polarization among US demographic groups. </w:t>
      </w:r>
      <w:r>
        <w:rPr>
          <w:rFonts w:ascii="Times New Roman" w:eastAsia="Times New Roman" w:hAnsi="Times New Roman" w:cs="Times New Roman"/>
          <w:i/>
          <w:sz w:val="24"/>
          <w:szCs w:val="24"/>
        </w:rPr>
        <w:t xml:space="preserve">Proceedings of the </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i/>
          <w:sz w:val="24"/>
          <w:szCs w:val="24"/>
        </w:rPr>
        <w:t>National Academy of Sciences of the United States of America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114</w:t>
      </w:r>
      <w:r>
        <w:rPr>
          <w:rFonts w:ascii="Times New Roman" w:eastAsia="Times New Roman" w:hAnsi="Times New Roman" w:cs="Times New Roman"/>
          <w:sz w:val="24"/>
          <w:szCs w:val="24"/>
        </w:rPr>
        <w:t>(40).</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Cadwalladr, C. (2016, December 11). Google is not “just” a platform.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frames, shapes, and </w:t>
      </w:r>
    </w:p>
    <w:p w:rsidR="00C30C8B" w:rsidRDefault="001E51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distorts</w:t>
      </w:r>
      <w:proofErr w:type="gramEnd"/>
      <w:r>
        <w:rPr>
          <w:rFonts w:ascii="Times New Roman" w:eastAsia="Times New Roman" w:hAnsi="Times New Roman" w:cs="Times New Roman"/>
          <w:sz w:val="24"/>
          <w:szCs w:val="24"/>
        </w:rPr>
        <w:t xml:space="preserve"> how we see the world. </w:t>
      </w:r>
      <w:r>
        <w:rPr>
          <w:rFonts w:ascii="Times New Roman" w:eastAsia="Times New Roman" w:hAnsi="Times New Roman" w:cs="Times New Roman"/>
          <w:i/>
          <w:sz w:val="24"/>
          <w:szCs w:val="24"/>
        </w:rPr>
        <w:t>The Guardian</w:t>
      </w:r>
      <w:r>
        <w:rPr>
          <w:rFonts w:ascii="Times New Roman" w:eastAsia="Times New Roman" w:hAnsi="Times New Roman" w:cs="Times New Roman"/>
          <w:sz w:val="24"/>
          <w:szCs w:val="24"/>
        </w:rPr>
        <w:t>. Retrieved from</w:t>
      </w:r>
      <w:hyperlink r:id="rId95">
        <w:r>
          <w:rPr>
            <w:rFonts w:ascii="Times New Roman" w:eastAsia="Times New Roman" w:hAnsi="Times New Roman" w:cs="Times New Roman"/>
            <w:sz w:val="24"/>
            <w:szCs w:val="24"/>
          </w:rPr>
          <w:t xml:space="preserve"> </w:t>
        </w:r>
      </w:hyperlink>
    </w:p>
    <w:p w:rsidR="00C30C8B" w:rsidRDefault="002305CD">
      <w:pPr>
        <w:rPr>
          <w:rFonts w:ascii="Times New Roman" w:eastAsia="Times New Roman" w:hAnsi="Times New Roman" w:cs="Times New Roman"/>
          <w:sz w:val="24"/>
          <w:szCs w:val="24"/>
        </w:rPr>
      </w:pPr>
      <w:hyperlink r:id="rId96">
        <w:r w:rsidR="001E516C">
          <w:rPr>
            <w:rFonts w:ascii="Times New Roman" w:eastAsia="Times New Roman" w:hAnsi="Times New Roman" w:cs="Times New Roman"/>
            <w:color w:val="1155CC"/>
            <w:sz w:val="24"/>
            <w:szCs w:val="24"/>
            <w:u w:val="single"/>
          </w:rPr>
          <w:t>https://www.theguardian.com/commentisfree/2016/dec/11/google-frames-shapes-and-dis</w:t>
        </w:r>
      </w:hyperlink>
    </w:p>
    <w:p w:rsidR="00C30C8B" w:rsidRDefault="002305CD">
      <w:pPr>
        <w:rPr>
          <w:rFonts w:ascii="Times New Roman" w:eastAsia="Times New Roman" w:hAnsi="Times New Roman" w:cs="Times New Roman"/>
          <w:color w:val="1155CC"/>
          <w:sz w:val="24"/>
          <w:szCs w:val="24"/>
          <w:u w:val="single"/>
        </w:rPr>
      </w:pPr>
      <w:hyperlink r:id="rId97">
        <w:r w:rsidR="001E516C">
          <w:rPr>
            <w:rFonts w:ascii="Times New Roman" w:eastAsia="Times New Roman" w:hAnsi="Times New Roman" w:cs="Times New Roman"/>
            <w:color w:val="1155CC"/>
            <w:sz w:val="24"/>
            <w:szCs w:val="24"/>
            <w:u w:val="single"/>
          </w:rPr>
          <w:t>Torts-how-we-see-world</w:t>
        </w:r>
      </w:hyperlink>
    </w:p>
    <w:p w:rsidR="00C30C8B" w:rsidRDefault="00C30C8B">
      <w:pPr>
        <w:rPr>
          <w:rFonts w:ascii="Times New Roman" w:eastAsia="Times New Roman" w:hAnsi="Times New Roman" w:cs="Times New Roman"/>
          <w:color w:val="1155CC"/>
          <w:sz w:val="24"/>
          <w:szCs w:val="24"/>
          <w:u w:val="single"/>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Cadwalladr, C. (2017, May 7).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great British Brexit robbery: How our democracy was </w:t>
      </w:r>
    </w:p>
    <w:p w:rsidR="00C30C8B" w:rsidRDefault="001E516C">
      <w:pPr>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hijacked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Guardian</w:t>
      </w:r>
      <w:r>
        <w:rPr>
          <w:rFonts w:ascii="Times New Roman" w:eastAsia="Times New Roman" w:hAnsi="Times New Roman" w:cs="Times New Roman"/>
          <w:sz w:val="24"/>
          <w:szCs w:val="24"/>
        </w:rPr>
        <w:t>. Retrieved from</w:t>
      </w:r>
      <w:hyperlink r:id="rId98">
        <w:r>
          <w:rPr>
            <w:rFonts w:ascii="Times New Roman" w:eastAsia="Times New Roman" w:hAnsi="Times New Roman" w:cs="Times New Roman"/>
            <w:sz w:val="24"/>
            <w:szCs w:val="24"/>
          </w:rPr>
          <w:t xml:space="preserve"> </w:t>
        </w:r>
      </w:hyperlink>
      <w:hyperlink r:id="rId99">
        <w:r>
          <w:rPr>
            <w:rFonts w:ascii="Times New Roman" w:eastAsia="Times New Roman" w:hAnsi="Times New Roman" w:cs="Times New Roman"/>
            <w:color w:val="1155CC"/>
            <w:sz w:val="24"/>
            <w:szCs w:val="24"/>
            <w:u w:val="single"/>
          </w:rPr>
          <w:t>https://www.theguardian.com/technology/2017/may/07/the-great-british-brexit-robbery-hijacked-democracy</w:t>
        </w:r>
      </w:hyperlink>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Deibert, R. J. (2019). The road to digital unfreedom: Three painful truths about social media. </w:t>
      </w:r>
    </w:p>
    <w:p w:rsidR="00C30C8B" w:rsidRDefault="001E516C">
      <w:pPr>
        <w:rPr>
          <w:rFonts w:ascii="Times New Roman" w:eastAsia="Times New Roman" w:hAnsi="Times New Roman" w:cs="Times New Roman"/>
          <w:color w:val="1155CC"/>
          <w:sz w:val="24"/>
          <w:szCs w:val="24"/>
          <w:u w:val="single"/>
        </w:rPr>
      </w:pPr>
      <w:r>
        <w:rPr>
          <w:rFonts w:ascii="Times New Roman" w:eastAsia="Times New Roman" w:hAnsi="Times New Roman" w:cs="Times New Roman"/>
          <w:i/>
          <w:sz w:val="24"/>
          <w:szCs w:val="24"/>
        </w:rPr>
        <w:t>Journal of Democracy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30</w:t>
      </w:r>
      <w:r>
        <w:rPr>
          <w:rFonts w:ascii="Times New Roman" w:eastAsia="Times New Roman" w:hAnsi="Times New Roman" w:cs="Times New Roman"/>
          <w:sz w:val="24"/>
          <w:szCs w:val="24"/>
        </w:rPr>
        <w:t>(1), 25–39.</w:t>
      </w:r>
      <w:hyperlink r:id="rId100">
        <w:r>
          <w:rPr>
            <w:rFonts w:ascii="Times New Roman" w:eastAsia="Times New Roman" w:hAnsi="Times New Roman" w:cs="Times New Roman"/>
            <w:sz w:val="24"/>
            <w:szCs w:val="24"/>
          </w:rPr>
          <w:t xml:space="preserve"> </w:t>
        </w:r>
      </w:hyperlink>
      <w:hyperlink r:id="rId101">
        <w:r>
          <w:rPr>
            <w:rFonts w:ascii="Times New Roman" w:eastAsia="Times New Roman" w:hAnsi="Times New Roman" w:cs="Times New Roman"/>
            <w:color w:val="1155CC"/>
            <w:sz w:val="24"/>
            <w:szCs w:val="24"/>
            <w:u w:val="single"/>
          </w:rPr>
          <w:t>https://doi.org/10.1353/jod.2019.0002</w:t>
        </w:r>
      </w:hyperlink>
    </w:p>
    <w:p w:rsidR="00C30C8B" w:rsidRDefault="00C30C8B">
      <w:pPr>
        <w:rPr>
          <w:rFonts w:ascii="Times New Roman" w:eastAsia="Times New Roman" w:hAnsi="Times New Roman" w:cs="Times New Roman"/>
          <w:color w:val="1155CC"/>
          <w:sz w:val="24"/>
          <w:szCs w:val="24"/>
          <w:u w:val="single"/>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Dewey, J. (1927). </w:t>
      </w:r>
      <w:r>
        <w:rPr>
          <w:rFonts w:ascii="Times New Roman" w:eastAsia="Times New Roman" w:hAnsi="Times New Roman" w:cs="Times New Roman"/>
          <w:i/>
          <w:sz w:val="24"/>
          <w:szCs w:val="24"/>
        </w:rPr>
        <w:t>The publi</w:t>
      </w:r>
      <w:r>
        <w:rPr>
          <w:rFonts w:ascii="Times New Roman" w:eastAsia="Times New Roman" w:hAnsi="Times New Roman" w:cs="Times New Roman"/>
          <w:sz w:val="24"/>
          <w:szCs w:val="24"/>
        </w:rPr>
        <w:t>c</w:t>
      </w:r>
      <w:r>
        <w:rPr>
          <w:rFonts w:ascii="Times New Roman" w:eastAsia="Times New Roman" w:hAnsi="Times New Roman" w:cs="Times New Roman"/>
          <w:i/>
          <w:sz w:val="24"/>
          <w:szCs w:val="24"/>
        </w:rPr>
        <w:t xml:space="preserve"> and its problems</w:t>
      </w:r>
      <w:r>
        <w:rPr>
          <w:rFonts w:ascii="Times New Roman" w:eastAsia="Times New Roman" w:hAnsi="Times New Roman" w:cs="Times New Roman"/>
          <w:sz w:val="24"/>
          <w:szCs w:val="24"/>
        </w:rPr>
        <w:t>. New York, NY: Henry Holt and Company.</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Duggan, M., &amp; Smith, A. (2016). </w:t>
      </w:r>
      <w:r>
        <w:rPr>
          <w:rFonts w:ascii="Times New Roman" w:eastAsia="Times New Roman" w:hAnsi="Times New Roman" w:cs="Times New Roman"/>
          <w:i/>
          <w:sz w:val="24"/>
          <w:szCs w:val="24"/>
        </w:rPr>
        <w:t>The tone of social media discussions around politics</w:t>
      </w:r>
      <w:r>
        <w:rPr>
          <w:rFonts w:ascii="Times New Roman" w:eastAsia="Times New Roman" w:hAnsi="Times New Roman" w:cs="Times New Roman"/>
          <w:sz w:val="24"/>
          <w:szCs w:val="24"/>
        </w:rPr>
        <w:t xml:space="preserve">. Retrieved </w:t>
      </w:r>
    </w:p>
    <w:p w:rsidR="00C30C8B" w:rsidRDefault="001E51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Pew Research Center: Internet &amp; Technology website: </w:t>
      </w:r>
      <w:r>
        <w:rPr>
          <w:rFonts w:ascii="Times New Roman" w:eastAsia="Times New Roman" w:hAnsi="Times New Roman" w:cs="Times New Roman"/>
          <w:sz w:val="24"/>
          <w:szCs w:val="24"/>
        </w:rPr>
        <w:tab/>
      </w:r>
      <w:hyperlink r:id="rId102">
        <w:r>
          <w:rPr>
            <w:rFonts w:ascii="Times New Roman" w:eastAsia="Times New Roman" w:hAnsi="Times New Roman" w:cs="Times New Roman"/>
            <w:color w:val="0000FF"/>
            <w:sz w:val="24"/>
            <w:szCs w:val="24"/>
            <w:u w:val="single"/>
          </w:rPr>
          <w:t>https://www.pewresearch.org/internet/2016/10/25/the-tone-of-social-media-discussions-</w:t>
        </w:r>
        <w:r>
          <w:rPr>
            <w:rFonts w:ascii="Times New Roman" w:eastAsia="Times New Roman" w:hAnsi="Times New Roman" w:cs="Times New Roman"/>
            <w:color w:val="0000FF"/>
            <w:sz w:val="24"/>
            <w:szCs w:val="24"/>
            <w:u w:val="single"/>
          </w:rPr>
          <w:tab/>
          <w:t>around-politics/</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Feiner, L. (2019, October 30). Twitter bans political ads after Facebook refused to do so. </w:t>
      </w:r>
      <w:r>
        <w:rPr>
          <w:rFonts w:ascii="Times New Roman" w:eastAsia="Times New Roman" w:hAnsi="Times New Roman" w:cs="Times New Roman"/>
          <w:i/>
          <w:sz w:val="24"/>
          <w:szCs w:val="24"/>
        </w:rPr>
        <w:t>CNBC</w:t>
      </w:r>
      <w:r>
        <w:rPr>
          <w:rFonts w:ascii="Times New Roman" w:eastAsia="Times New Roman" w:hAnsi="Times New Roman" w:cs="Times New Roman"/>
          <w:sz w:val="24"/>
          <w:szCs w:val="24"/>
        </w:rPr>
        <w:t xml:space="preserve">. </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Retrieved from</w:t>
      </w:r>
    </w:p>
    <w:p w:rsidR="00C30C8B" w:rsidRDefault="002305CD">
      <w:pPr>
        <w:rPr>
          <w:rFonts w:ascii="Times New Roman" w:eastAsia="Times New Roman" w:hAnsi="Times New Roman" w:cs="Times New Roman"/>
          <w:sz w:val="24"/>
          <w:szCs w:val="24"/>
        </w:rPr>
      </w:pPr>
      <w:hyperlink r:id="rId103">
        <w:r w:rsidR="001E516C">
          <w:rPr>
            <w:rFonts w:ascii="Times New Roman" w:eastAsia="Times New Roman" w:hAnsi="Times New Roman" w:cs="Times New Roman"/>
            <w:color w:val="1155CC"/>
            <w:sz w:val="24"/>
            <w:szCs w:val="24"/>
            <w:u w:val="single"/>
          </w:rPr>
          <w:t>https://www.cnbc.com/2019/10/30/twitter-bans-political-ads-after-facebook-refused-to-</w:t>
        </w:r>
      </w:hyperlink>
    </w:p>
    <w:p w:rsidR="00C30C8B" w:rsidRPr="001E516C" w:rsidRDefault="002305CD">
      <w:pPr>
        <w:rPr>
          <w:rFonts w:ascii="Times New Roman" w:eastAsia="Times New Roman" w:hAnsi="Times New Roman" w:cs="Times New Roman"/>
          <w:color w:val="1155CC"/>
          <w:sz w:val="24"/>
          <w:szCs w:val="24"/>
          <w:u w:val="single"/>
          <w:lang w:val="de-DE"/>
        </w:rPr>
      </w:pPr>
      <w:hyperlink r:id="rId104">
        <w:r w:rsidR="001E516C" w:rsidRPr="001E516C">
          <w:rPr>
            <w:rFonts w:ascii="Times New Roman" w:eastAsia="Times New Roman" w:hAnsi="Times New Roman" w:cs="Times New Roman"/>
            <w:color w:val="1155CC"/>
            <w:sz w:val="24"/>
            <w:szCs w:val="24"/>
            <w:u w:val="single"/>
            <w:lang w:val="de-DE"/>
          </w:rPr>
          <w:t>O-so.html</w:t>
        </w:r>
      </w:hyperlink>
    </w:p>
    <w:p w:rsidR="00C30C8B" w:rsidRPr="001E516C" w:rsidRDefault="00C30C8B">
      <w:pPr>
        <w:rPr>
          <w:rFonts w:ascii="Times New Roman" w:eastAsia="Times New Roman" w:hAnsi="Times New Roman" w:cs="Times New Roman"/>
          <w:color w:val="1155CC"/>
          <w:sz w:val="24"/>
          <w:szCs w:val="24"/>
          <w:u w:val="single"/>
          <w:lang w:val="de-DE"/>
        </w:rPr>
      </w:pPr>
    </w:p>
    <w:p w:rsidR="00C30C8B" w:rsidRDefault="001E516C">
      <w:pPr>
        <w:rPr>
          <w:rFonts w:ascii="Times New Roman" w:eastAsia="Times New Roman" w:hAnsi="Times New Roman" w:cs="Times New Roman"/>
          <w:sz w:val="24"/>
          <w:szCs w:val="24"/>
        </w:rPr>
      </w:pPr>
      <w:r w:rsidRPr="001E516C">
        <w:rPr>
          <w:rFonts w:ascii="Times New Roman" w:eastAsia="Times New Roman" w:hAnsi="Times New Roman" w:cs="Times New Roman"/>
          <w:sz w:val="24"/>
          <w:szCs w:val="24"/>
          <w:lang w:val="de-DE"/>
        </w:rPr>
        <w:t xml:space="preserve">Fishkin, J., &amp; Pozen, D. (2018). </w:t>
      </w:r>
      <w:r>
        <w:rPr>
          <w:rFonts w:ascii="Times New Roman" w:eastAsia="Times New Roman" w:hAnsi="Times New Roman" w:cs="Times New Roman"/>
          <w:sz w:val="24"/>
          <w:szCs w:val="24"/>
        </w:rPr>
        <w:t xml:space="preserve">Asymmetric constitutional hardball. </w:t>
      </w:r>
      <w:r>
        <w:rPr>
          <w:rFonts w:ascii="Times New Roman" w:eastAsia="Times New Roman" w:hAnsi="Times New Roman" w:cs="Times New Roman"/>
          <w:i/>
          <w:sz w:val="24"/>
          <w:szCs w:val="24"/>
        </w:rPr>
        <w:t>Columbia Law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118</w:t>
      </w:r>
      <w:r>
        <w:rPr>
          <w:rFonts w:ascii="Times New Roman" w:eastAsia="Times New Roman" w:hAnsi="Times New Roman" w:cs="Times New Roman"/>
          <w:sz w:val="24"/>
          <w:szCs w:val="24"/>
        </w:rPr>
        <w:t xml:space="preserve">, </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915–982.</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Foer, F. (2017). </w:t>
      </w:r>
      <w:r>
        <w:rPr>
          <w:rFonts w:ascii="Times New Roman" w:eastAsia="Times New Roman" w:hAnsi="Times New Roman" w:cs="Times New Roman"/>
          <w:i/>
          <w:sz w:val="24"/>
          <w:szCs w:val="24"/>
        </w:rPr>
        <w:t>World without mind: the existential threat of big tech</w:t>
      </w:r>
      <w:r>
        <w:rPr>
          <w:rFonts w:ascii="Times New Roman" w:eastAsia="Times New Roman" w:hAnsi="Times New Roman" w:cs="Times New Roman"/>
          <w:sz w:val="24"/>
          <w:szCs w:val="24"/>
        </w:rPr>
        <w:t>. New York, NY: Penguin</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Press.</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i/>
          <w:sz w:val="24"/>
          <w:szCs w:val="24"/>
        </w:rPr>
      </w:pPr>
      <w:proofErr w:type="gramStart"/>
      <w:r>
        <w:rPr>
          <w:rFonts w:ascii="Times New Roman" w:eastAsia="Times New Roman" w:hAnsi="Times New Roman" w:cs="Times New Roman"/>
          <w:sz w:val="24"/>
          <w:szCs w:val="24"/>
        </w:rPr>
        <w:t>Guess,</w:t>
      </w:r>
      <w:proofErr w:type="gramEnd"/>
      <w:r>
        <w:rPr>
          <w:rFonts w:ascii="Times New Roman" w:eastAsia="Times New Roman" w:hAnsi="Times New Roman" w:cs="Times New Roman"/>
          <w:sz w:val="24"/>
          <w:szCs w:val="24"/>
        </w:rPr>
        <w:t xml:space="preserve"> A., Nyhan, B., Lyons, B., &amp; Reifler, J. (2018). </w:t>
      </w:r>
      <w:r>
        <w:rPr>
          <w:rFonts w:ascii="Times New Roman" w:eastAsia="Times New Roman" w:hAnsi="Times New Roman" w:cs="Times New Roman"/>
          <w:i/>
          <w:sz w:val="24"/>
          <w:szCs w:val="24"/>
        </w:rPr>
        <w:t xml:space="preserve">Avoiding the echo chamber about echo </w:t>
      </w:r>
    </w:p>
    <w:p w:rsidR="00C30C8B" w:rsidRDefault="001E516C">
      <w:pPr>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chambers</w:t>
      </w:r>
      <w:proofErr w:type="gramEnd"/>
      <w:r>
        <w:rPr>
          <w:rFonts w:ascii="Times New Roman" w:eastAsia="Times New Roman" w:hAnsi="Times New Roman" w:cs="Times New Roman"/>
          <w:i/>
          <w:sz w:val="24"/>
          <w:szCs w:val="24"/>
        </w:rPr>
        <w:t xml:space="preserve">: Why selective exposure to congenial political news is less prevalent than you </w:t>
      </w:r>
    </w:p>
    <w:p w:rsidR="00C30C8B" w:rsidRDefault="001E516C">
      <w:pPr>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think</w:t>
      </w:r>
      <w:proofErr w:type="gramEnd"/>
      <w:r>
        <w:rPr>
          <w:rFonts w:ascii="Times New Roman" w:eastAsia="Times New Roman" w:hAnsi="Times New Roman" w:cs="Times New Roman"/>
          <w:sz w:val="24"/>
          <w:szCs w:val="24"/>
        </w:rPr>
        <w:t xml:space="preserve"> (p. 25). Knight Foundation.</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Levitsky, S., &amp; Ziblatt, D. (2018). </w:t>
      </w:r>
      <w:r>
        <w:rPr>
          <w:rFonts w:ascii="Times New Roman" w:eastAsia="Times New Roman" w:hAnsi="Times New Roman" w:cs="Times New Roman"/>
          <w:i/>
          <w:sz w:val="24"/>
          <w:szCs w:val="24"/>
        </w:rPr>
        <w:t>How democracies die</w:t>
      </w:r>
      <w:r>
        <w:rPr>
          <w:rFonts w:ascii="Times New Roman" w:eastAsia="Times New Roman" w:hAnsi="Times New Roman" w:cs="Times New Roman"/>
          <w:sz w:val="24"/>
          <w:szCs w:val="24"/>
        </w:rPr>
        <w:t xml:space="preserve"> (First edition). New York: Crown.</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McCormack, J. (2016, November 10). The election came down to 77,744 votes in Pennsylvania, </w:t>
      </w:r>
    </w:p>
    <w:p w:rsidR="00C30C8B" w:rsidRDefault="001E51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Wisconsin,</w:t>
      </w:r>
      <w:proofErr w:type="gramEnd"/>
      <w:r>
        <w:rPr>
          <w:rFonts w:ascii="Times New Roman" w:eastAsia="Times New Roman" w:hAnsi="Times New Roman" w:cs="Times New Roman"/>
          <w:sz w:val="24"/>
          <w:szCs w:val="24"/>
        </w:rPr>
        <w:t xml:space="preserve"> and Michigan. </w:t>
      </w:r>
      <w:r>
        <w:rPr>
          <w:rFonts w:ascii="Times New Roman" w:eastAsia="Times New Roman" w:hAnsi="Times New Roman" w:cs="Times New Roman"/>
          <w:i/>
          <w:sz w:val="24"/>
          <w:szCs w:val="24"/>
        </w:rPr>
        <w:t>The Washington Examiner</w:t>
      </w:r>
      <w:r>
        <w:rPr>
          <w:rFonts w:ascii="Times New Roman" w:eastAsia="Times New Roman" w:hAnsi="Times New Roman" w:cs="Times New Roman"/>
          <w:sz w:val="24"/>
          <w:szCs w:val="24"/>
        </w:rPr>
        <w:t>. Retrieved from,</w:t>
      </w:r>
    </w:p>
    <w:p w:rsidR="00C30C8B" w:rsidRDefault="002305CD">
      <w:pPr>
        <w:rPr>
          <w:rFonts w:ascii="Times New Roman" w:eastAsia="Times New Roman" w:hAnsi="Times New Roman" w:cs="Times New Roman"/>
          <w:sz w:val="24"/>
          <w:szCs w:val="24"/>
        </w:rPr>
      </w:pPr>
      <w:hyperlink r:id="rId105">
        <w:r w:rsidR="001E516C">
          <w:rPr>
            <w:rFonts w:ascii="Times New Roman" w:eastAsia="Times New Roman" w:hAnsi="Times New Roman" w:cs="Times New Roman"/>
            <w:color w:val="1155CC"/>
            <w:sz w:val="24"/>
            <w:szCs w:val="24"/>
            <w:u w:val="single"/>
          </w:rPr>
          <w:t>https://www.washingtonexaminer.com/weekly-standard/the-election-came-down-to-77-7</w:t>
        </w:r>
      </w:hyperlink>
    </w:p>
    <w:p w:rsidR="00C30C8B" w:rsidRDefault="002305CD">
      <w:pPr>
        <w:rPr>
          <w:rFonts w:ascii="Times New Roman" w:eastAsia="Times New Roman" w:hAnsi="Times New Roman" w:cs="Times New Roman"/>
          <w:color w:val="1155CC"/>
          <w:sz w:val="24"/>
          <w:szCs w:val="24"/>
          <w:u w:val="single"/>
        </w:rPr>
      </w:pPr>
      <w:hyperlink r:id="rId106">
        <w:r w:rsidR="001E516C">
          <w:rPr>
            <w:rFonts w:ascii="Times New Roman" w:eastAsia="Times New Roman" w:hAnsi="Times New Roman" w:cs="Times New Roman"/>
            <w:color w:val="1155CC"/>
            <w:sz w:val="24"/>
            <w:szCs w:val="24"/>
            <w:u w:val="single"/>
          </w:rPr>
          <w:t>4-votes-in-pennsylvania-wisconsin-and-michigan-updated</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sidRPr="001E516C">
        <w:rPr>
          <w:rFonts w:ascii="Times New Roman" w:eastAsia="Times New Roman" w:hAnsi="Times New Roman" w:cs="Times New Roman"/>
          <w:sz w:val="24"/>
          <w:szCs w:val="24"/>
          <w:lang w:val="de-DE"/>
        </w:rPr>
        <w:t xml:space="preserve">Rashbaum, W. K., &amp; Goldman, A. (2018, October 26). </w:t>
      </w:r>
      <w:r>
        <w:rPr>
          <w:rFonts w:ascii="Times New Roman" w:eastAsia="Times New Roman" w:hAnsi="Times New Roman" w:cs="Times New Roman"/>
          <w:sz w:val="24"/>
          <w:szCs w:val="24"/>
        </w:rPr>
        <w:t xml:space="preserve">Outspoken Trump supporter in </w:t>
      </w:r>
      <w:proofErr w:type="gramStart"/>
      <w:r>
        <w:rPr>
          <w:rFonts w:ascii="Times New Roman" w:eastAsia="Times New Roman" w:hAnsi="Times New Roman" w:cs="Times New Roman"/>
          <w:sz w:val="24"/>
          <w:szCs w:val="24"/>
        </w:rPr>
        <w:t>florida</w:t>
      </w:r>
      <w:proofErr w:type="gramEnd"/>
    </w:p>
    <w:p w:rsidR="00C30C8B" w:rsidRDefault="001E516C">
      <w:pPr>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charged</w:t>
      </w:r>
      <w:proofErr w:type="gramEnd"/>
      <w:r>
        <w:rPr>
          <w:rFonts w:ascii="Times New Roman" w:eastAsia="Times New Roman" w:hAnsi="Times New Roman" w:cs="Times New Roman"/>
          <w:sz w:val="24"/>
          <w:szCs w:val="24"/>
        </w:rPr>
        <w:t xml:space="preserve"> in attempted bombing spree.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Richards, N. M., &amp; King, J. (2014). Big data ethics. </w:t>
      </w:r>
      <w:r>
        <w:rPr>
          <w:rFonts w:ascii="Times New Roman" w:eastAsia="Times New Roman" w:hAnsi="Times New Roman" w:cs="Times New Roman"/>
          <w:i/>
          <w:sz w:val="24"/>
          <w:szCs w:val="24"/>
        </w:rPr>
        <w:t>Wake Forest Law Review</w:t>
      </w:r>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Rosenberg, M., Confessore, N., &amp; Cadwalladr, C. (2018, March 17). How Trump consultants </w:t>
      </w:r>
    </w:p>
    <w:p w:rsidR="00C30C8B" w:rsidRDefault="001E51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exploited</w:t>
      </w:r>
      <w:proofErr w:type="gramEnd"/>
      <w:r>
        <w:rPr>
          <w:rFonts w:ascii="Times New Roman" w:eastAsia="Times New Roman" w:hAnsi="Times New Roman" w:cs="Times New Roman"/>
          <w:sz w:val="24"/>
          <w:szCs w:val="24"/>
        </w:rPr>
        <w:t xml:space="preserve"> the Facebook data of millions.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 Retrieved from</w:t>
      </w:r>
    </w:p>
    <w:p w:rsidR="00C30C8B" w:rsidRDefault="002305CD">
      <w:pPr>
        <w:rPr>
          <w:rFonts w:ascii="Times New Roman" w:eastAsia="Times New Roman" w:hAnsi="Times New Roman" w:cs="Times New Roman"/>
          <w:sz w:val="24"/>
          <w:szCs w:val="24"/>
        </w:rPr>
      </w:pPr>
      <w:hyperlink r:id="rId107">
        <w:r w:rsidR="001E516C">
          <w:rPr>
            <w:rFonts w:ascii="Times New Roman" w:eastAsia="Times New Roman" w:hAnsi="Times New Roman" w:cs="Times New Roman"/>
            <w:color w:val="1155CC"/>
            <w:sz w:val="24"/>
            <w:szCs w:val="24"/>
            <w:u w:val="single"/>
          </w:rPr>
          <w:t>https://www.nytimes.com/2018/03/17/us/politics/cambridge-analytica-trump-campaign.</w:t>
        </w:r>
      </w:hyperlink>
    </w:p>
    <w:p w:rsidR="00C30C8B" w:rsidRDefault="002305CD">
      <w:pPr>
        <w:rPr>
          <w:rFonts w:ascii="Times New Roman" w:eastAsia="Times New Roman" w:hAnsi="Times New Roman" w:cs="Times New Roman"/>
          <w:color w:val="1155CC"/>
          <w:sz w:val="24"/>
          <w:szCs w:val="24"/>
          <w:u w:val="single"/>
        </w:rPr>
      </w:pPr>
      <w:hyperlink r:id="rId108">
        <w:proofErr w:type="gramStart"/>
        <w:r w:rsidR="001E516C">
          <w:rPr>
            <w:rFonts w:ascii="Times New Roman" w:eastAsia="Times New Roman" w:hAnsi="Times New Roman" w:cs="Times New Roman"/>
            <w:color w:val="1155CC"/>
            <w:sz w:val="24"/>
            <w:szCs w:val="24"/>
            <w:u w:val="single"/>
          </w:rPr>
          <w:t>tml?</w:t>
        </w:r>
        <w:proofErr w:type="gramEnd"/>
        <w:r w:rsidR="001E516C">
          <w:rPr>
            <w:rFonts w:ascii="Times New Roman" w:eastAsia="Times New Roman" w:hAnsi="Times New Roman" w:cs="Times New Roman"/>
            <w:color w:val="1155CC"/>
            <w:sz w:val="24"/>
            <w:szCs w:val="24"/>
            <w:u w:val="single"/>
          </w:rPr>
          <w:t>module=inline</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Schroepfer, M. (2018, April 4). An update on our plans to restrict data access on Facebook.</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i/>
          <w:sz w:val="24"/>
          <w:szCs w:val="24"/>
        </w:rPr>
        <w:t>Facebook Newsroom</w:t>
      </w:r>
      <w:r>
        <w:rPr>
          <w:rFonts w:ascii="Times New Roman" w:eastAsia="Times New Roman" w:hAnsi="Times New Roman" w:cs="Times New Roman"/>
          <w:sz w:val="24"/>
          <w:szCs w:val="24"/>
        </w:rPr>
        <w:t>. Retrieved from</w:t>
      </w:r>
    </w:p>
    <w:p w:rsidR="00C30C8B" w:rsidRDefault="002305CD">
      <w:pPr>
        <w:rPr>
          <w:rFonts w:ascii="Times New Roman" w:eastAsia="Times New Roman" w:hAnsi="Times New Roman" w:cs="Times New Roman"/>
          <w:color w:val="1155CC"/>
          <w:sz w:val="24"/>
          <w:szCs w:val="24"/>
          <w:u w:val="single"/>
        </w:rPr>
      </w:pPr>
      <w:hyperlink r:id="rId109">
        <w:r w:rsidR="001E516C">
          <w:rPr>
            <w:rFonts w:ascii="Times New Roman" w:eastAsia="Times New Roman" w:hAnsi="Times New Roman" w:cs="Times New Roman"/>
            <w:color w:val="1155CC"/>
            <w:sz w:val="24"/>
            <w:szCs w:val="24"/>
            <w:u w:val="single"/>
          </w:rPr>
          <w:t>https://newsroom.fb.com/news/2018/04/restricting-data-access/</w:t>
        </w:r>
      </w:hyperlink>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Shearer, Elisa, and Katerina Eva Masta. “News Use </w:t>
      </w:r>
      <w:proofErr w:type="gramStart"/>
      <w:r>
        <w:rPr>
          <w:rFonts w:ascii="Times New Roman" w:eastAsia="Times New Roman" w:hAnsi="Times New Roman" w:cs="Times New Roman"/>
          <w:sz w:val="24"/>
          <w:szCs w:val="24"/>
        </w:rPr>
        <w:t>Across</w:t>
      </w:r>
      <w:proofErr w:type="gramEnd"/>
      <w:r>
        <w:rPr>
          <w:rFonts w:ascii="Times New Roman" w:eastAsia="Times New Roman" w:hAnsi="Times New Roman" w:cs="Times New Roman"/>
          <w:sz w:val="24"/>
          <w:szCs w:val="24"/>
        </w:rPr>
        <w:t xml:space="preserve"> Social Media Platforms 2018.” Pew </w:t>
      </w:r>
      <w:r>
        <w:rPr>
          <w:rFonts w:ascii="Times New Roman" w:eastAsia="Times New Roman" w:hAnsi="Times New Roman" w:cs="Times New Roman"/>
          <w:sz w:val="24"/>
          <w:szCs w:val="24"/>
        </w:rPr>
        <w:tab/>
        <w:t>Research Center: Journalism &amp; Media, September 10, 2018.</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Smith, A., &amp; Anderson, M. (2018). </w:t>
      </w:r>
      <w:r>
        <w:rPr>
          <w:rFonts w:ascii="Times New Roman" w:eastAsia="Times New Roman" w:hAnsi="Times New Roman" w:cs="Times New Roman"/>
          <w:i/>
          <w:sz w:val="24"/>
          <w:szCs w:val="24"/>
        </w:rPr>
        <w:t xml:space="preserve">Social media use 2018: Demographics and statistics. </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Retrieved from Pew Research Center: Internet, Science &amp; Tech website:</w:t>
      </w:r>
    </w:p>
    <w:p w:rsidR="00C30C8B" w:rsidRDefault="002305CD">
      <w:pPr>
        <w:rPr>
          <w:rFonts w:ascii="Times New Roman" w:eastAsia="Times New Roman" w:hAnsi="Times New Roman" w:cs="Times New Roman"/>
          <w:color w:val="1155CC"/>
          <w:sz w:val="24"/>
          <w:szCs w:val="24"/>
          <w:u w:val="single"/>
        </w:rPr>
      </w:pPr>
      <w:hyperlink r:id="rId110">
        <w:r w:rsidR="001E516C">
          <w:rPr>
            <w:rFonts w:ascii="Times New Roman" w:eastAsia="Times New Roman" w:hAnsi="Times New Roman" w:cs="Times New Roman"/>
            <w:color w:val="1155CC"/>
            <w:sz w:val="24"/>
            <w:szCs w:val="24"/>
            <w:u w:val="single"/>
          </w:rPr>
          <w:t>http://www.pewinternet.org/2018/03/01/social-media-use-in-2018/</w:t>
        </w:r>
      </w:hyperlink>
    </w:p>
    <w:p w:rsidR="00C30C8B" w:rsidRDefault="00C30C8B">
      <w:pPr>
        <w:rPr>
          <w:rFonts w:ascii="Times New Roman" w:eastAsia="Times New Roman" w:hAnsi="Times New Roman" w:cs="Times New Roman"/>
          <w:sz w:val="24"/>
          <w:szCs w:val="24"/>
        </w:rPr>
      </w:pP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Sunstein, C. R. (2017). </w:t>
      </w:r>
      <w:r>
        <w:rPr>
          <w:rFonts w:ascii="Times New Roman" w:eastAsia="Times New Roman" w:hAnsi="Times New Roman" w:cs="Times New Roman"/>
          <w:i/>
          <w:sz w:val="24"/>
          <w:szCs w:val="24"/>
        </w:rPr>
        <w:t>#Republic: Divided democracy in the age of social media</w:t>
      </w:r>
      <w:r>
        <w:rPr>
          <w:rFonts w:ascii="Times New Roman" w:eastAsia="Times New Roman" w:hAnsi="Times New Roman" w:cs="Times New Roman"/>
          <w:sz w:val="24"/>
          <w:szCs w:val="24"/>
        </w:rPr>
        <w:t xml:space="preserve">. Princeton: </w:t>
      </w: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Oxford: Princeton University Press.</w:t>
      </w:r>
    </w:p>
    <w:p w:rsidR="00C30C8B" w:rsidRDefault="00C30C8B">
      <w:pPr>
        <w:rPr>
          <w:rFonts w:ascii="Times New Roman" w:eastAsia="Times New Roman" w:hAnsi="Times New Roman" w:cs="Times New Roman"/>
          <w:i/>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The facebook dilemma</w:t>
      </w:r>
      <w:r>
        <w:rPr>
          <w:rFonts w:ascii="Times New Roman" w:eastAsia="Times New Roman" w:hAnsi="Times New Roman" w:cs="Times New Roman"/>
          <w:sz w:val="24"/>
          <w:szCs w:val="24"/>
        </w:rPr>
        <w:t>. (2018, October 30). Frontline.</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Tuab, A., &amp; Fisher, M. (2018, April 21). Where countries are tinderboxes and Facebook is a </w:t>
      </w:r>
    </w:p>
    <w:p w:rsidR="00C30C8B" w:rsidRDefault="001E51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match</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New York Times</w:t>
      </w:r>
      <w:r>
        <w:rPr>
          <w:rFonts w:ascii="Times New Roman" w:eastAsia="Times New Roman" w:hAnsi="Times New Roman" w:cs="Times New Roman"/>
          <w:sz w:val="24"/>
          <w:szCs w:val="24"/>
        </w:rPr>
        <w:t>.</w:t>
      </w:r>
    </w:p>
    <w:p w:rsidR="00C30C8B" w:rsidRDefault="00C30C8B">
      <w:pPr>
        <w:rPr>
          <w:rFonts w:ascii="Times New Roman" w:eastAsia="Times New Roman" w:hAnsi="Times New Roman" w:cs="Times New Roman"/>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Tucker, J., Guess, A., Barbera, P., &amp; Vaccari, C. (2018). Social media, political polarization, and </w:t>
      </w:r>
    </w:p>
    <w:p w:rsidR="00C30C8B" w:rsidRDefault="001E516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political</w:t>
      </w:r>
      <w:proofErr w:type="gramEnd"/>
      <w:r>
        <w:rPr>
          <w:rFonts w:ascii="Times New Roman" w:eastAsia="Times New Roman" w:hAnsi="Times New Roman" w:cs="Times New Roman"/>
          <w:sz w:val="24"/>
          <w:szCs w:val="24"/>
        </w:rPr>
        <w:t xml:space="preserve"> disinformation: A review of the scientific literature. </w:t>
      </w:r>
      <w:r>
        <w:rPr>
          <w:rFonts w:ascii="Times New Roman" w:eastAsia="Times New Roman" w:hAnsi="Times New Roman" w:cs="Times New Roman"/>
          <w:i/>
          <w:sz w:val="24"/>
          <w:szCs w:val="24"/>
        </w:rPr>
        <w:t>SSRN Electronic Journal</w:t>
      </w:r>
      <w:r>
        <w:rPr>
          <w:rFonts w:ascii="Times New Roman" w:eastAsia="Times New Roman" w:hAnsi="Times New Roman" w:cs="Times New Roman"/>
          <w:sz w:val="24"/>
          <w:szCs w:val="24"/>
        </w:rPr>
        <w:t>.</w:t>
      </w:r>
      <w:hyperlink r:id="rId111">
        <w:r>
          <w:rPr>
            <w:rFonts w:ascii="Times New Roman" w:eastAsia="Times New Roman" w:hAnsi="Times New Roman" w:cs="Times New Roman"/>
            <w:sz w:val="24"/>
            <w:szCs w:val="24"/>
          </w:rPr>
          <w:t xml:space="preserve"> </w:t>
        </w:r>
      </w:hyperlink>
    </w:p>
    <w:p w:rsidR="00C30C8B" w:rsidRDefault="002305CD">
      <w:pPr>
        <w:rPr>
          <w:rFonts w:ascii="Times New Roman" w:eastAsia="Times New Roman" w:hAnsi="Times New Roman" w:cs="Times New Roman"/>
          <w:color w:val="1155CC"/>
          <w:sz w:val="24"/>
          <w:szCs w:val="24"/>
          <w:u w:val="single"/>
        </w:rPr>
      </w:pPr>
      <w:hyperlink r:id="rId112">
        <w:r w:rsidR="001E516C">
          <w:rPr>
            <w:rFonts w:ascii="Times New Roman" w:eastAsia="Times New Roman" w:hAnsi="Times New Roman" w:cs="Times New Roman"/>
            <w:color w:val="1155CC"/>
            <w:sz w:val="24"/>
            <w:szCs w:val="24"/>
            <w:u w:val="single"/>
          </w:rPr>
          <w:t>https://doi.org/10.2139/ssrn.3144139</w:t>
        </w:r>
      </w:hyperlink>
    </w:p>
    <w:p w:rsidR="007F459E" w:rsidRDefault="007F459E">
      <w:pPr>
        <w:rPr>
          <w:rFonts w:ascii="Times New Roman" w:eastAsia="Times New Roman" w:hAnsi="Times New Roman" w:cs="Times New Roman"/>
          <w:color w:val="1155CC"/>
          <w:sz w:val="24"/>
          <w:szCs w:val="24"/>
          <w:u w:val="single"/>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 T. (2017). Blind spot: The attention economy and the law. </w:t>
      </w:r>
      <w:r>
        <w:rPr>
          <w:rFonts w:ascii="Times New Roman" w:eastAsia="Times New Roman" w:hAnsi="Times New Roman" w:cs="Times New Roman"/>
          <w:i/>
          <w:sz w:val="24"/>
          <w:szCs w:val="24"/>
        </w:rPr>
        <w:t>Antitrust Law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82</w:t>
      </w:r>
      <w:r>
        <w:rPr>
          <w:rFonts w:ascii="Times New Roman" w:eastAsia="Times New Roman" w:hAnsi="Times New Roman" w:cs="Times New Roman"/>
          <w:sz w:val="24"/>
          <w:szCs w:val="24"/>
        </w:rPr>
        <w:t>(3).</w:t>
      </w:r>
    </w:p>
    <w:p w:rsidR="00C30C8B" w:rsidRDefault="00C30C8B">
      <w:pPr>
        <w:rPr>
          <w:rFonts w:ascii="Times New Roman" w:eastAsia="Times New Roman" w:hAnsi="Times New Roman" w:cs="Times New Roman"/>
          <w:sz w:val="24"/>
          <w:szCs w:val="24"/>
        </w:rPr>
      </w:pPr>
    </w:p>
    <w:p w:rsidR="007F459E" w:rsidRDefault="007F45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the author</w:t>
      </w:r>
      <w:r w:rsidR="001E516C">
        <w:rPr>
          <w:rFonts w:ascii="Times New Roman" w:eastAsia="Times New Roman" w:hAnsi="Times New Roman" w:cs="Times New Roman"/>
          <w:b/>
          <w:sz w:val="24"/>
          <w:szCs w:val="24"/>
        </w:rPr>
        <w:t>:</w:t>
      </w:r>
    </w:p>
    <w:p w:rsidR="00C30C8B" w:rsidRDefault="00C30C8B">
      <w:pPr>
        <w:rPr>
          <w:rFonts w:ascii="Times New Roman" w:eastAsia="Times New Roman" w:hAnsi="Times New Roman" w:cs="Times New Roman"/>
          <w:b/>
          <w:sz w:val="24"/>
          <w:szCs w:val="24"/>
        </w:rPr>
      </w:pPr>
    </w:p>
    <w:p w:rsidR="00C30C8B" w:rsidRDefault="001E516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Jason Goldfarb</w:t>
      </w:r>
      <w:r>
        <w:rPr>
          <w:rFonts w:ascii="Times New Roman" w:eastAsia="Times New Roman" w:hAnsi="Times New Roman" w:cs="Times New Roman"/>
          <w:sz w:val="24"/>
          <w:szCs w:val="24"/>
        </w:rPr>
        <w:t xml:space="preserve"> is a senior at the University of Vermont. </w:t>
      </w:r>
      <w:proofErr w:type="gramStart"/>
      <w:r>
        <w:rPr>
          <w:rFonts w:ascii="Times New Roman" w:eastAsia="Times New Roman" w:hAnsi="Times New Roman" w:cs="Times New Roman"/>
          <w:sz w:val="24"/>
          <w:szCs w:val="24"/>
        </w:rPr>
        <w:t>Originally</w:t>
      </w:r>
      <w:proofErr w:type="gramEnd"/>
      <w:r>
        <w:rPr>
          <w:rFonts w:ascii="Times New Roman" w:eastAsia="Times New Roman" w:hAnsi="Times New Roman" w:cs="Times New Roman"/>
          <w:sz w:val="24"/>
          <w:szCs w:val="24"/>
        </w:rPr>
        <w:t xml:space="preserve"> from San Diego, California, he is studying Political Science and History, with a minor in Public Communication. This has shaped his undergraduate career, and he plans to continue this research in the future. Outside of the classroom, he serves as an editor for the </w:t>
      </w:r>
      <w:r>
        <w:rPr>
          <w:rFonts w:ascii="Times New Roman" w:eastAsia="Times New Roman" w:hAnsi="Times New Roman" w:cs="Times New Roman"/>
          <w:i/>
          <w:sz w:val="24"/>
          <w:szCs w:val="24"/>
        </w:rPr>
        <w:t>UVM History Review</w:t>
      </w:r>
      <w:r>
        <w:rPr>
          <w:rFonts w:ascii="Times New Roman" w:eastAsia="Times New Roman" w:hAnsi="Times New Roman" w:cs="Times New Roman"/>
          <w:sz w:val="24"/>
          <w:szCs w:val="24"/>
        </w:rPr>
        <w:t xml:space="preserve">, the Director of UVM’s Student Legal Services, and a Lead Student Admissions Representative. He </w:t>
      </w:r>
      <w:proofErr w:type="gramStart"/>
      <w:r>
        <w:rPr>
          <w:rFonts w:ascii="Times New Roman" w:eastAsia="Times New Roman" w:hAnsi="Times New Roman" w:cs="Times New Roman"/>
          <w:sz w:val="24"/>
          <w:szCs w:val="24"/>
        </w:rPr>
        <w:t>may be contacted</w:t>
      </w:r>
      <w:proofErr w:type="gramEnd"/>
      <w:r>
        <w:rPr>
          <w:rFonts w:ascii="Times New Roman" w:eastAsia="Times New Roman" w:hAnsi="Times New Roman" w:cs="Times New Roman"/>
          <w:sz w:val="24"/>
          <w:szCs w:val="24"/>
        </w:rPr>
        <w:t xml:space="preserve"> at </w:t>
      </w:r>
      <w:hyperlink r:id="rId113">
        <w:r>
          <w:rPr>
            <w:rFonts w:ascii="Times New Roman" w:eastAsia="Times New Roman" w:hAnsi="Times New Roman" w:cs="Times New Roman"/>
            <w:color w:val="0000FF"/>
            <w:sz w:val="24"/>
            <w:szCs w:val="24"/>
            <w:u w:val="single"/>
          </w:rPr>
          <w:t>JasonGoldfarb1@gmail.com</w:t>
        </w:r>
      </w:hyperlink>
      <w:r>
        <w:rPr>
          <w:rFonts w:ascii="Times New Roman" w:eastAsia="Times New Roman" w:hAnsi="Times New Roman" w:cs="Times New Roman"/>
          <w:sz w:val="24"/>
          <w:szCs w:val="24"/>
        </w:rPr>
        <w:t>.</w:t>
      </w: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1E516C" w:rsidRDefault="001E516C">
      <w:pPr>
        <w:spacing w:line="480" w:lineRule="auto"/>
        <w:rPr>
          <w:rFonts w:ascii="Times New Roman" w:eastAsia="Times New Roman" w:hAnsi="Times New Roman" w:cs="Times New Roman"/>
          <w:sz w:val="24"/>
          <w:szCs w:val="24"/>
        </w:rPr>
      </w:pPr>
    </w:p>
    <w:p w:rsidR="00C30C8B" w:rsidRDefault="001E516C">
      <w:pPr>
        <w:spacing w:line="240" w:lineRule="auto"/>
        <w:ind w:right="-180"/>
        <w:rPr>
          <w:rFonts w:ascii="Times New Roman" w:eastAsia="Times New Roman" w:hAnsi="Times New Roman" w:cs="Times New Roman"/>
          <w:sz w:val="24"/>
          <w:szCs w:val="24"/>
        </w:rPr>
      </w:pPr>
      <w:bookmarkStart w:id="4" w:name="_fzt1bosatrw4" w:colFirst="0" w:colLast="0"/>
      <w:bookmarkStart w:id="5" w:name="_cdfsqm4g0lx" w:colFirst="0" w:colLast="0"/>
      <w:bookmarkStart w:id="6" w:name="_bxzo0i7alvll" w:colFirst="0" w:colLast="0"/>
      <w:bookmarkStart w:id="7" w:name="_x9f83oly2cc" w:colFirst="0" w:colLast="0"/>
      <w:bookmarkEnd w:id="4"/>
      <w:bookmarkEnd w:id="5"/>
      <w:bookmarkEnd w:id="6"/>
      <w:bookmarkEnd w:id="7"/>
      <w:r>
        <w:rPr>
          <w:rFonts w:ascii="Times New Roman" w:eastAsia="Times New Roman" w:hAnsi="Times New Roman" w:cs="Times New Roman"/>
          <w:b/>
          <w:i/>
          <w:color w:val="212121"/>
          <w:sz w:val="24"/>
          <w:szCs w:val="24"/>
          <w:highlight w:val="white"/>
        </w:rPr>
        <w:t xml:space="preserve">Digital Activism and </w:t>
      </w:r>
      <w:proofErr w:type="gramStart"/>
      <w:r>
        <w:rPr>
          <w:rFonts w:ascii="Times New Roman" w:eastAsia="Times New Roman" w:hAnsi="Times New Roman" w:cs="Times New Roman"/>
          <w:b/>
          <w:i/>
          <w:color w:val="212121"/>
          <w:sz w:val="24"/>
          <w:szCs w:val="24"/>
          <w:highlight w:val="white"/>
        </w:rPr>
        <w:t>The</w:t>
      </w:r>
      <w:proofErr w:type="gramEnd"/>
      <w:r>
        <w:rPr>
          <w:rFonts w:ascii="Times New Roman" w:eastAsia="Times New Roman" w:hAnsi="Times New Roman" w:cs="Times New Roman"/>
          <w:b/>
          <w:i/>
          <w:color w:val="212121"/>
          <w:sz w:val="24"/>
          <w:szCs w:val="24"/>
          <w:highlight w:val="white"/>
        </w:rPr>
        <w:t xml:space="preserve"> Increased Role of Dalit Activism in Intersectional Feminism in India</w:t>
      </w:r>
    </w:p>
    <w:p w:rsidR="00C30C8B" w:rsidRDefault="001E516C">
      <w:pPr>
        <w:spacing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b/>
          <w:color w:val="212121"/>
          <w:sz w:val="24"/>
          <w:szCs w:val="24"/>
          <w:highlight w:val="white"/>
        </w:rPr>
        <w:t> </w:t>
      </w:r>
    </w:p>
    <w:p w:rsidR="00C30C8B" w:rsidRDefault="00C30C8B">
      <w:pPr>
        <w:spacing w:line="240" w:lineRule="auto"/>
        <w:ind w:left="-180" w:right="-180"/>
        <w:rPr>
          <w:rFonts w:ascii="Times New Roman" w:eastAsia="Times New Roman" w:hAnsi="Times New Roman" w:cs="Times New Roman"/>
          <w:b/>
          <w:color w:val="212121"/>
          <w:sz w:val="24"/>
          <w:szCs w:val="24"/>
          <w:highlight w:val="white"/>
        </w:rPr>
      </w:pPr>
    </w:p>
    <w:p w:rsidR="00C30C8B" w:rsidRDefault="00C30C8B">
      <w:pPr>
        <w:spacing w:line="240" w:lineRule="auto"/>
        <w:ind w:left="-180" w:right="-180"/>
        <w:rPr>
          <w:rFonts w:ascii="Times New Roman" w:eastAsia="Times New Roman" w:hAnsi="Times New Roman" w:cs="Times New Roman"/>
          <w:b/>
          <w:color w:val="212121"/>
          <w:sz w:val="24"/>
          <w:szCs w:val="24"/>
          <w:highlight w:val="white"/>
        </w:rPr>
      </w:pPr>
    </w:p>
    <w:p w:rsidR="00C30C8B" w:rsidRDefault="001E516C">
      <w:pPr>
        <w:spacing w:line="240" w:lineRule="auto"/>
        <w:ind w:left="-180" w:right="-180"/>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highlight w:val="white"/>
        </w:rPr>
        <w:t xml:space="preserve">Laura O’Connor, University of Ottawa, Ontario, Canada </w:t>
      </w:r>
    </w:p>
    <w:p w:rsidR="007F459E" w:rsidRDefault="007F459E">
      <w:pPr>
        <w:spacing w:line="240" w:lineRule="auto"/>
        <w:ind w:left="-180" w:right="-180"/>
        <w:rPr>
          <w:rFonts w:ascii="Times New Roman" w:eastAsia="Times New Roman" w:hAnsi="Times New Roman" w:cs="Times New Roman"/>
          <w:sz w:val="24"/>
          <w:szCs w:val="24"/>
        </w:rPr>
      </w:pPr>
    </w:p>
    <w:p w:rsidR="00C30C8B" w:rsidRDefault="00C30C8B">
      <w:pPr>
        <w:spacing w:line="240" w:lineRule="auto"/>
        <w:ind w:right="-180"/>
        <w:rPr>
          <w:rFonts w:ascii="Times New Roman" w:eastAsia="Times New Roman" w:hAnsi="Times New Roman" w:cs="Times New Roman"/>
          <w:sz w:val="24"/>
          <w:szCs w:val="24"/>
        </w:rPr>
      </w:pPr>
    </w:p>
    <w:p w:rsidR="007F459E" w:rsidRDefault="001E516C" w:rsidP="007F459E">
      <w:pPr>
        <w:spacing w:line="240" w:lineRule="auto"/>
        <w:ind w:left="-180" w:right="-180"/>
        <w:rPr>
          <w:rFonts w:ascii="Times New Roman" w:eastAsia="Times New Roman" w:hAnsi="Times New Roman" w:cs="Times New Roman"/>
          <w:b/>
          <w:sz w:val="24"/>
          <w:szCs w:val="24"/>
        </w:rPr>
      </w:pPr>
      <w:r>
        <w:rPr>
          <w:rFonts w:ascii="Times New Roman" w:eastAsia="Times New Roman" w:hAnsi="Times New Roman" w:cs="Times New Roman"/>
          <w:color w:val="212121"/>
          <w:sz w:val="24"/>
          <w:szCs w:val="24"/>
          <w:highlight w:val="white"/>
        </w:rPr>
        <w:t> </w:t>
      </w:r>
      <w:r w:rsidRPr="007F459E">
        <w:rPr>
          <w:rFonts w:ascii="Times New Roman" w:eastAsia="Times New Roman" w:hAnsi="Times New Roman" w:cs="Times New Roman"/>
          <w:b/>
          <w:sz w:val="24"/>
          <w:szCs w:val="24"/>
        </w:rPr>
        <w:t>Abstract</w:t>
      </w:r>
    </w:p>
    <w:p w:rsidR="007F459E" w:rsidRPr="007F459E" w:rsidRDefault="007F459E" w:rsidP="007F459E">
      <w:pPr>
        <w:spacing w:line="240" w:lineRule="auto"/>
        <w:ind w:left="-180" w:right="-180"/>
        <w:rPr>
          <w:rFonts w:ascii="Times New Roman" w:eastAsia="Times New Roman" w:hAnsi="Times New Roman" w:cs="Times New Roman"/>
          <w:b/>
          <w:sz w:val="24"/>
          <w:szCs w:val="24"/>
        </w:rPr>
      </w:pPr>
    </w:p>
    <w:p w:rsidR="007F459E" w:rsidRDefault="001E516C" w:rsidP="007F459E">
      <w:pPr>
        <w:spacing w:line="240" w:lineRule="auto"/>
        <w:ind w:left="-180" w:right="-180"/>
        <w:jc w:val="both"/>
        <w:rPr>
          <w:rFonts w:ascii="Times New Roman" w:eastAsia="Times New Roman" w:hAnsi="Times New Roman" w:cs="Times New Roman"/>
          <w:b/>
          <w:sz w:val="24"/>
          <w:szCs w:val="24"/>
        </w:rPr>
      </w:pPr>
      <w:r w:rsidRPr="001E516C">
        <w:rPr>
          <w:rFonts w:ascii="Times New Roman" w:eastAsia="Times New Roman" w:hAnsi="Times New Roman" w:cs="Times New Roman"/>
          <w:sz w:val="24"/>
          <w:szCs w:val="24"/>
        </w:rPr>
        <w:t>This paper seeks to examine the role of social media in feminist Dalit activism in India.</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rPr>
        <w:t>Dalits, or Scheduled Castes, have been historically isolated from pop-culture and media</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rPr>
        <w:t>spheres due to institutionalized casteism in India. Patriarchal norms have fused these two forms</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rPr>
        <w:t>of oppression together in some cases, making Dalit women a particularly marginalized</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rPr>
        <w:t xml:space="preserve">demographic. </w:t>
      </w:r>
      <w:r>
        <w:rPr>
          <w:rFonts w:ascii="Times New Roman" w:eastAsia="Times New Roman" w:hAnsi="Times New Roman" w:cs="Times New Roman"/>
          <w:sz w:val="24"/>
          <w:szCs w:val="24"/>
        </w:rPr>
        <w:t>M</w:t>
      </w:r>
      <w:r w:rsidRPr="001E516C">
        <w:rPr>
          <w:rFonts w:ascii="Times New Roman" w:eastAsia="Times New Roman" w:hAnsi="Times New Roman" w:cs="Times New Roman"/>
          <w:sz w:val="24"/>
          <w:szCs w:val="24"/>
        </w:rPr>
        <w:t>ainstream media institutions within India are comprised of almost solely higher</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rPr>
        <w:t>caste employees, particularly in directorship positions, which translates into higher caste-centric</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rPr>
        <w:t>media coverage and leaves Dalit issues out of mainstream conversations. Using both feminist</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rPr>
        <w:t>media theory and social movement theory this paper argues that social media has given rise to</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rPr>
        <w:t>unprecedented levels of Dalit feminist activism. In particular, this paper uses the resurgence in</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rPr>
        <w:t>support of the late Dr. Ambedkar, a famed Dalit activist and unifying force, the #WhyLoiter</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rPr>
        <w:t>campaign, the support and media representation of Mayawati to give evidence for a rise in Dalit</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rPr>
        <w:t>feminist and emancipatory activism.</w:t>
      </w:r>
    </w:p>
    <w:p w:rsidR="007F459E" w:rsidRDefault="007F459E" w:rsidP="007F459E">
      <w:pPr>
        <w:spacing w:line="240" w:lineRule="auto"/>
        <w:ind w:left="-180" w:right="-180"/>
        <w:jc w:val="both"/>
        <w:rPr>
          <w:rFonts w:ascii="Times New Roman" w:eastAsia="Times New Roman" w:hAnsi="Times New Roman" w:cs="Times New Roman"/>
          <w:b/>
          <w:sz w:val="24"/>
          <w:szCs w:val="24"/>
        </w:rPr>
      </w:pPr>
    </w:p>
    <w:p w:rsidR="007F459E" w:rsidRDefault="007F459E" w:rsidP="007F459E">
      <w:pPr>
        <w:spacing w:line="240" w:lineRule="auto"/>
        <w:ind w:left="-180" w:right="-180"/>
        <w:jc w:val="both"/>
        <w:rPr>
          <w:rFonts w:ascii="Times New Roman" w:eastAsia="Times New Roman" w:hAnsi="Times New Roman" w:cs="Times New Roman"/>
          <w:b/>
          <w:sz w:val="24"/>
          <w:szCs w:val="24"/>
        </w:rPr>
      </w:pPr>
    </w:p>
    <w:p w:rsidR="00C30C8B" w:rsidRPr="007F459E" w:rsidRDefault="001E516C" w:rsidP="007F459E">
      <w:pPr>
        <w:spacing w:line="240" w:lineRule="auto"/>
        <w:ind w:left="-180" w:right="-180"/>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Key Words: </w:t>
      </w:r>
      <w:r>
        <w:rPr>
          <w:rFonts w:ascii="Times New Roman" w:eastAsia="Times New Roman" w:hAnsi="Times New Roman" w:cs="Times New Roman"/>
          <w:i/>
          <w:sz w:val="24"/>
          <w:szCs w:val="24"/>
        </w:rPr>
        <w:t>Dalit activism, social media, feminism, feminist media theory, intersectional politics</w:t>
      </w:r>
    </w:p>
    <w:p w:rsidR="00C30C8B" w:rsidRDefault="00C30C8B">
      <w:pPr>
        <w:spacing w:line="480" w:lineRule="auto"/>
        <w:jc w:val="both"/>
        <w:rPr>
          <w:rFonts w:ascii="Times New Roman" w:eastAsia="Times New Roman" w:hAnsi="Times New Roman" w:cs="Times New Roman"/>
          <w:b/>
          <w:i/>
          <w:sz w:val="24"/>
          <w:szCs w:val="24"/>
        </w:rPr>
      </w:pPr>
    </w:p>
    <w:p w:rsidR="00C30C8B" w:rsidRDefault="00C30C8B">
      <w:pPr>
        <w:spacing w:line="480" w:lineRule="auto"/>
        <w:jc w:val="both"/>
        <w:rPr>
          <w:rFonts w:ascii="Times New Roman" w:eastAsia="Times New Roman" w:hAnsi="Times New Roman" w:cs="Times New Roman"/>
          <w:b/>
          <w:i/>
          <w:sz w:val="24"/>
          <w:szCs w:val="24"/>
        </w:rPr>
      </w:pPr>
    </w:p>
    <w:p w:rsidR="00C30C8B" w:rsidRDefault="00C30C8B">
      <w:pPr>
        <w:spacing w:line="480" w:lineRule="auto"/>
        <w:jc w:val="both"/>
        <w:rPr>
          <w:rFonts w:ascii="Times New Roman" w:eastAsia="Times New Roman" w:hAnsi="Times New Roman" w:cs="Times New Roman"/>
          <w:b/>
          <w:i/>
          <w:sz w:val="24"/>
          <w:szCs w:val="24"/>
        </w:rPr>
      </w:pPr>
    </w:p>
    <w:p w:rsidR="00C30C8B" w:rsidRDefault="00C30C8B">
      <w:pPr>
        <w:spacing w:line="480" w:lineRule="auto"/>
        <w:jc w:val="both"/>
        <w:rPr>
          <w:rFonts w:ascii="Times New Roman" w:eastAsia="Times New Roman" w:hAnsi="Times New Roman" w:cs="Times New Roman"/>
          <w:b/>
          <w:i/>
          <w:sz w:val="24"/>
          <w:szCs w:val="24"/>
        </w:rPr>
      </w:pPr>
    </w:p>
    <w:p w:rsidR="00C30C8B" w:rsidRDefault="00C30C8B">
      <w:pPr>
        <w:spacing w:line="480" w:lineRule="auto"/>
        <w:jc w:val="both"/>
        <w:rPr>
          <w:rFonts w:ascii="Times New Roman" w:eastAsia="Times New Roman" w:hAnsi="Times New Roman" w:cs="Times New Roman"/>
          <w:b/>
          <w:i/>
          <w:sz w:val="24"/>
          <w:szCs w:val="24"/>
        </w:rPr>
      </w:pPr>
    </w:p>
    <w:p w:rsidR="00C30C8B" w:rsidRDefault="00C30C8B">
      <w:pPr>
        <w:spacing w:line="480" w:lineRule="auto"/>
        <w:jc w:val="both"/>
        <w:rPr>
          <w:rFonts w:ascii="Times New Roman" w:eastAsia="Times New Roman" w:hAnsi="Times New Roman" w:cs="Times New Roman"/>
          <w:b/>
          <w:i/>
          <w:sz w:val="24"/>
          <w:szCs w:val="24"/>
        </w:rPr>
      </w:pPr>
    </w:p>
    <w:p w:rsidR="00C30C8B" w:rsidRDefault="00C30C8B">
      <w:pPr>
        <w:spacing w:line="480" w:lineRule="auto"/>
        <w:jc w:val="both"/>
        <w:rPr>
          <w:rFonts w:ascii="Times New Roman" w:eastAsia="Times New Roman" w:hAnsi="Times New Roman" w:cs="Times New Roman"/>
          <w:b/>
          <w:i/>
          <w:sz w:val="24"/>
          <w:szCs w:val="24"/>
        </w:rPr>
      </w:pPr>
    </w:p>
    <w:p w:rsidR="00C30C8B" w:rsidRDefault="00C30C8B">
      <w:pPr>
        <w:spacing w:line="480" w:lineRule="auto"/>
        <w:jc w:val="both"/>
        <w:rPr>
          <w:rFonts w:ascii="Times New Roman" w:eastAsia="Times New Roman" w:hAnsi="Times New Roman" w:cs="Times New Roman"/>
          <w:b/>
          <w:i/>
          <w:sz w:val="24"/>
          <w:szCs w:val="24"/>
        </w:rPr>
      </w:pPr>
    </w:p>
    <w:p w:rsidR="001E516C" w:rsidRDefault="001E516C">
      <w:pPr>
        <w:spacing w:line="480" w:lineRule="auto"/>
        <w:jc w:val="both"/>
        <w:rPr>
          <w:rFonts w:ascii="Times New Roman" w:eastAsia="Times New Roman" w:hAnsi="Times New Roman" w:cs="Times New Roman"/>
          <w:b/>
          <w:i/>
          <w:sz w:val="24"/>
          <w:szCs w:val="24"/>
        </w:rPr>
      </w:pPr>
    </w:p>
    <w:p w:rsidR="00C30C8B" w:rsidRDefault="00C30C8B">
      <w:pPr>
        <w:spacing w:line="480" w:lineRule="auto"/>
        <w:jc w:val="both"/>
        <w:rPr>
          <w:rFonts w:ascii="Times New Roman" w:eastAsia="Times New Roman" w:hAnsi="Times New Roman" w:cs="Times New Roman"/>
          <w:b/>
          <w:i/>
          <w:sz w:val="24"/>
          <w:szCs w:val="24"/>
        </w:rPr>
      </w:pPr>
    </w:p>
    <w:p w:rsidR="00C30C8B" w:rsidRDefault="00C30C8B">
      <w:pPr>
        <w:spacing w:line="480" w:lineRule="auto"/>
        <w:jc w:val="both"/>
        <w:rPr>
          <w:rFonts w:ascii="Times New Roman" w:eastAsia="Times New Roman" w:hAnsi="Times New Roman" w:cs="Times New Roman"/>
          <w:b/>
          <w:i/>
          <w:sz w:val="24"/>
          <w:szCs w:val="24"/>
        </w:rPr>
      </w:pPr>
    </w:p>
    <w:p w:rsidR="001E516C" w:rsidRDefault="001E516C">
      <w:pPr>
        <w:spacing w:line="480" w:lineRule="auto"/>
        <w:jc w:val="both"/>
        <w:rPr>
          <w:rFonts w:ascii="Times New Roman" w:eastAsia="Times New Roman" w:hAnsi="Times New Roman" w:cs="Times New Roman"/>
          <w:b/>
          <w:i/>
          <w:sz w:val="24"/>
          <w:szCs w:val="24"/>
        </w:rPr>
      </w:pPr>
    </w:p>
    <w:p w:rsidR="00C30C8B" w:rsidRDefault="001E516C">
      <w:pPr>
        <w:spacing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C30C8B" w:rsidRDefault="001E516C" w:rsidP="001E516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the past decade, social media has collided with social justice movements and grassroots activism. The lexicon surrounding the study of social movements has expanded into the realms of </w:t>
      </w:r>
      <w:r>
        <w:rPr>
          <w:rFonts w:ascii="Times New Roman" w:eastAsia="Times New Roman" w:hAnsi="Times New Roman" w:cs="Times New Roman"/>
          <w:i/>
          <w:sz w:val="24"/>
          <w:szCs w:val="24"/>
        </w:rPr>
        <w:t>hacktivism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hashtag activism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citizen journalism</w:t>
      </w:r>
      <w:r>
        <w:rPr>
          <w:rFonts w:ascii="Times New Roman" w:eastAsia="Times New Roman" w:hAnsi="Times New Roman" w:cs="Times New Roman"/>
          <w:sz w:val="24"/>
          <w:szCs w:val="24"/>
        </w:rPr>
        <w:t xml:space="preserve">, and other buzzwords describing the ways in which the everyday person </w:t>
      </w:r>
      <w:proofErr w:type="gramStart"/>
      <w:r>
        <w:rPr>
          <w:rFonts w:ascii="Times New Roman" w:eastAsia="Times New Roman" w:hAnsi="Times New Roman" w:cs="Times New Roman"/>
          <w:sz w:val="24"/>
          <w:szCs w:val="24"/>
        </w:rPr>
        <w:t>is politically and socially empowered</w:t>
      </w:r>
      <w:proofErr w:type="gramEnd"/>
      <w:r>
        <w:rPr>
          <w:rFonts w:ascii="Times New Roman" w:eastAsia="Times New Roman" w:hAnsi="Times New Roman" w:cs="Times New Roman"/>
          <w:sz w:val="24"/>
          <w:szCs w:val="24"/>
        </w:rPr>
        <w:t xml:space="preserve"> through social media. India, in particular, provides interesting insight into the ways in which subaltern politics </w:t>
      </w:r>
      <w:proofErr w:type="gramStart"/>
      <w:r>
        <w:rPr>
          <w:rFonts w:ascii="Times New Roman" w:eastAsia="Times New Roman" w:hAnsi="Times New Roman" w:cs="Times New Roman"/>
          <w:sz w:val="24"/>
          <w:szCs w:val="24"/>
        </w:rPr>
        <w:t>are catalyzed</w:t>
      </w:r>
      <w:proofErr w:type="gramEnd"/>
      <w:r>
        <w:rPr>
          <w:rFonts w:ascii="Times New Roman" w:eastAsia="Times New Roman" w:hAnsi="Times New Roman" w:cs="Times New Roman"/>
          <w:sz w:val="24"/>
          <w:szCs w:val="24"/>
        </w:rPr>
        <w:t xml:space="preserve"> by participatory media. The caste system has entrenched extreme socio-economic divides within Indian populations, preventing mobility within the class latter and entrapping many within the class they </w:t>
      </w:r>
      <w:proofErr w:type="gramStart"/>
      <w:r>
        <w:rPr>
          <w:rFonts w:ascii="Times New Roman" w:eastAsia="Times New Roman" w:hAnsi="Times New Roman" w:cs="Times New Roman"/>
          <w:sz w:val="24"/>
          <w:szCs w:val="24"/>
        </w:rPr>
        <w:t>were assigned</w:t>
      </w:r>
      <w:proofErr w:type="gramEnd"/>
      <w:r>
        <w:rPr>
          <w:rFonts w:ascii="Times New Roman" w:eastAsia="Times New Roman" w:hAnsi="Times New Roman" w:cs="Times New Roman"/>
          <w:sz w:val="24"/>
          <w:szCs w:val="24"/>
        </w:rPr>
        <w:t xml:space="preserve"> at birth. Moreover, institutional sexism and patriarchal social and political institutions have created vast gender inequality in India and normalized what many would deem rape-culture and </w:t>
      </w:r>
      <w:proofErr w:type="gramStart"/>
      <w:r>
        <w:rPr>
          <w:rFonts w:ascii="Times New Roman" w:eastAsia="Times New Roman" w:hAnsi="Times New Roman" w:cs="Times New Roman"/>
          <w:sz w:val="24"/>
          <w:szCs w:val="24"/>
        </w:rPr>
        <w:t>victim-blaming</w:t>
      </w:r>
      <w:proofErr w:type="gramEnd"/>
      <w:r>
        <w:rPr>
          <w:rFonts w:ascii="Times New Roman" w:eastAsia="Times New Roman" w:hAnsi="Times New Roman" w:cs="Times New Roman"/>
          <w:sz w:val="24"/>
          <w:szCs w:val="24"/>
        </w:rPr>
        <w:t xml:space="preserve"> within the context of sexual harassment and assault. </w:t>
      </w:r>
      <w:r>
        <w:rPr>
          <w:rFonts w:ascii="Times New Roman" w:eastAsia="Times New Roman" w:hAnsi="Times New Roman" w:cs="Times New Roman"/>
          <w:i/>
          <w:sz w:val="24"/>
          <w:szCs w:val="24"/>
        </w:rPr>
        <w:t>Par consequent</w:t>
      </w:r>
      <w:r>
        <w:rPr>
          <w:rFonts w:ascii="Times New Roman" w:eastAsia="Times New Roman" w:hAnsi="Times New Roman" w:cs="Times New Roman"/>
          <w:sz w:val="24"/>
          <w:szCs w:val="24"/>
        </w:rPr>
        <w:t xml:space="preserve">, social media has increased visibility for both Dalit and feminist activism. This article answers the question “In what ways has social media interwoven feminist and Dalit activism?” Referencing feminist media theory and social movement theory, I argue that the rise of social media has given Dalit activism unprecedented levels of visibility and brought Dalit emancipatory politics into the repertoire of intersectional feminism in India. This article will examine the ways in which social media has changed social movements and given voice to Dalit activism in India through analyzing anti-harassment feminist hashtag activism, representation of Dalit women in mainstream media and subsequent social media response, and, finally, the ways in which the former two intersect with </w:t>
      </w:r>
      <w:r>
        <w:rPr>
          <w:rFonts w:ascii="Times New Roman" w:eastAsia="Times New Roman" w:hAnsi="Times New Roman" w:cs="Times New Roman"/>
          <w:i/>
          <w:sz w:val="24"/>
          <w:szCs w:val="24"/>
        </w:rPr>
        <w:t>Dalit</w:t>
      </w:r>
      <w:r>
        <w:rPr>
          <w:rFonts w:ascii="Times New Roman" w:eastAsia="Times New Roman" w:hAnsi="Times New Roman" w:cs="Times New Roman"/>
          <w:sz w:val="24"/>
          <w:szCs w:val="24"/>
        </w:rPr>
        <w:t xml:space="preserve"> emancipatory politics in India.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Firstly, this article will provide contextual evidence to the argument at hand. Kumbhojkar explains that a core creed of Dalit activism, as per the influence of B.R. Ambedkar, is creating a collective identity for the Dalits that is outside the hierarchy dictated by the caste system (2018). This is the essential base for Dalit emancipation. The trouble, however, is distilling the countless interpretations of this collective identity into one generally agreed-upon unifying conception of </w:t>
      </w:r>
      <w:r>
        <w:rPr>
          <w:rFonts w:ascii="Times New Roman" w:eastAsia="Times New Roman" w:hAnsi="Times New Roman" w:cs="Times New Roman"/>
          <w:i/>
          <w:sz w:val="24"/>
          <w:szCs w:val="24"/>
        </w:rPr>
        <w:lastRenderedPageBreak/>
        <w:t>Dalit</w:t>
      </w:r>
      <w:r>
        <w:rPr>
          <w:rFonts w:ascii="Times New Roman" w:eastAsia="Times New Roman" w:hAnsi="Times New Roman" w:cs="Times New Roman"/>
          <w:sz w:val="24"/>
          <w:szCs w:val="24"/>
        </w:rPr>
        <w:t xml:space="preserve">. In the digital era, this means an uneven activist space in which many Dalit voices have disjointed and contradictory emancipatory theories. This </w:t>
      </w:r>
      <w:proofErr w:type="gramStart"/>
      <w:r>
        <w:rPr>
          <w:rFonts w:ascii="Times New Roman" w:eastAsia="Times New Roman" w:hAnsi="Times New Roman" w:cs="Times New Roman"/>
          <w:sz w:val="24"/>
          <w:szCs w:val="24"/>
        </w:rPr>
        <w:t>being said</w:t>
      </w:r>
      <w:proofErr w:type="gramEnd"/>
      <w:r>
        <w:rPr>
          <w:rFonts w:ascii="Times New Roman" w:eastAsia="Times New Roman" w:hAnsi="Times New Roman" w:cs="Times New Roman"/>
          <w:sz w:val="24"/>
          <w:szCs w:val="24"/>
        </w:rPr>
        <w:t xml:space="preserve">, while it may lack uniformity, the democratization of knowledge and the endless platforms for expression </w:t>
      </w:r>
      <w:r>
        <w:rPr>
          <w:rFonts w:ascii="Times New Roman" w:eastAsia="Times New Roman" w:hAnsi="Times New Roman" w:cs="Times New Roman"/>
          <w:i/>
          <w:sz w:val="24"/>
          <w:szCs w:val="24"/>
        </w:rPr>
        <w:t>have</w:t>
      </w:r>
      <w:r>
        <w:rPr>
          <w:rFonts w:ascii="Times New Roman" w:eastAsia="Times New Roman" w:hAnsi="Times New Roman" w:cs="Times New Roman"/>
          <w:sz w:val="24"/>
          <w:szCs w:val="24"/>
        </w:rPr>
        <w:t xml:space="preserve"> catalyzed Dalit activism and weaved all forms of Dalit social movements into one larger emancipatory space (Kumbhojkar, 2018).</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Besides a lack of a uniform mission statement, a lack of access to internet is a major obstacle facing the quest for Dalit autonomy. The digital divide is a virtual wall separating those who have access to the environment versus those who do not, and, unfortunately, a large portion of the Dalit population </w:t>
      </w:r>
      <w:proofErr w:type="gramStart"/>
      <w:r>
        <w:rPr>
          <w:rFonts w:ascii="Times New Roman" w:eastAsia="Times New Roman" w:hAnsi="Times New Roman" w:cs="Times New Roman"/>
          <w:sz w:val="24"/>
          <w:szCs w:val="24"/>
        </w:rPr>
        <w:t>is faced</w:t>
      </w:r>
      <w:proofErr w:type="gramEnd"/>
      <w:r>
        <w:rPr>
          <w:rFonts w:ascii="Times New Roman" w:eastAsia="Times New Roman" w:hAnsi="Times New Roman" w:cs="Times New Roman"/>
          <w:sz w:val="24"/>
          <w:szCs w:val="24"/>
        </w:rPr>
        <w:t xml:space="preserve"> with economic barriers preventing access to internet and computers. Nevertheless, Dalit populations, particularly Dalit youth, have found voice through many social media platforms, and bring forth critical discourses to mainstream social justice activism.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Intersectional feminism, as a form of criticism and protest against oppressive social, political, and economic institutions, incorporates all form of oppression into its creed, including casteism. Dey explains that feminist criticism of patriarchal powers often bleeds into all social hierarchies and struggles for social change, going further than just women’s movements (2018). For marginalized groups, identity-based politics are often crucial for unification and strength (Dey, 2018). In the same way that re-defining what Dalit means is an empowering emancipatory act for Dalit communities, women re-defining pre-conceived notions of womanhood is also an integral notion of feminist movements. As social media has exponentially expanded the platforms given to both Dalit activists and feminist voices for expressing their protests against their oppressors, it has also brought together the two social movements and brought visibility to the overlaps between the two marginalized populations, and the intersections between socio-economic oppression and </w:t>
      </w:r>
      <w:r>
        <w:rPr>
          <w:rFonts w:ascii="Times New Roman" w:eastAsia="Times New Roman" w:hAnsi="Times New Roman" w:cs="Times New Roman"/>
          <w:sz w:val="24"/>
          <w:szCs w:val="24"/>
        </w:rPr>
        <w:lastRenderedPageBreak/>
        <w:t xml:space="preserve">sexism. This article will analyze feminist social media movements and the ways in which Dalit activism </w:t>
      </w:r>
      <w:proofErr w:type="gramStart"/>
      <w:r>
        <w:rPr>
          <w:rFonts w:ascii="Times New Roman" w:eastAsia="Times New Roman" w:hAnsi="Times New Roman" w:cs="Times New Roman"/>
          <w:sz w:val="24"/>
          <w:szCs w:val="24"/>
        </w:rPr>
        <w:t>has been increasingly interwoven</w:t>
      </w:r>
      <w:proofErr w:type="gramEnd"/>
      <w:r>
        <w:rPr>
          <w:rFonts w:ascii="Times New Roman" w:eastAsia="Times New Roman" w:hAnsi="Times New Roman" w:cs="Times New Roman"/>
          <w:sz w:val="24"/>
          <w:szCs w:val="24"/>
        </w:rPr>
        <w:t xml:space="preserve"> into digital feminist activism.</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Concepts</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Dalit communities and the ways in which Dalit communities have instrumentalized social media as a platform for activism and re-writing pop-culture narratives are the </w:t>
      </w:r>
      <w:proofErr w:type="gramStart"/>
      <w:r>
        <w:rPr>
          <w:rFonts w:ascii="Times New Roman" w:eastAsia="Times New Roman" w:hAnsi="Times New Roman" w:cs="Times New Roman"/>
          <w:sz w:val="24"/>
          <w:szCs w:val="24"/>
        </w:rPr>
        <w:t>main focus</w:t>
      </w:r>
      <w:proofErr w:type="gramEnd"/>
      <w:r>
        <w:rPr>
          <w:rFonts w:ascii="Times New Roman" w:eastAsia="Times New Roman" w:hAnsi="Times New Roman" w:cs="Times New Roman"/>
          <w:sz w:val="24"/>
          <w:szCs w:val="24"/>
        </w:rPr>
        <w:t xml:space="preserve"> subjects of this paper. The term </w:t>
      </w:r>
      <w:r>
        <w:rPr>
          <w:rFonts w:ascii="Times New Roman" w:eastAsia="Times New Roman" w:hAnsi="Times New Roman" w:cs="Times New Roman"/>
          <w:i/>
          <w:sz w:val="24"/>
          <w:szCs w:val="24"/>
        </w:rPr>
        <w:t>Dalit</w:t>
      </w:r>
      <w:r>
        <w:rPr>
          <w:rFonts w:ascii="Times New Roman" w:eastAsia="Times New Roman" w:hAnsi="Times New Roman" w:cs="Times New Roman"/>
          <w:sz w:val="24"/>
          <w:szCs w:val="24"/>
        </w:rPr>
        <w:t xml:space="preserve"> refers to members of the caste system once referred to as “</w:t>
      </w:r>
      <w:r>
        <w:rPr>
          <w:rFonts w:ascii="Times New Roman" w:eastAsia="Times New Roman" w:hAnsi="Times New Roman" w:cs="Times New Roman"/>
          <w:i/>
          <w:sz w:val="24"/>
          <w:szCs w:val="24"/>
        </w:rPr>
        <w:t>untouchables</w:t>
      </w:r>
      <w:r>
        <w:rPr>
          <w:rFonts w:ascii="Times New Roman" w:eastAsia="Times New Roman" w:hAnsi="Times New Roman" w:cs="Times New Roman"/>
          <w:sz w:val="24"/>
          <w:szCs w:val="24"/>
        </w:rPr>
        <w:t xml:space="preserve">.” Charsley writes that “’untouchability’ stands directly for the humiliations imposed generation after generation on large sections of the Indian populations” (1996).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being said, Still writes that while mostly regarded the term </w:t>
      </w:r>
      <w:r>
        <w:rPr>
          <w:rFonts w:ascii="Times New Roman" w:eastAsia="Times New Roman" w:hAnsi="Times New Roman" w:cs="Times New Roman"/>
          <w:i/>
          <w:sz w:val="24"/>
          <w:szCs w:val="24"/>
        </w:rPr>
        <w:t>Dalit</w:t>
      </w:r>
      <w:r>
        <w:rPr>
          <w:rFonts w:ascii="Times New Roman" w:eastAsia="Times New Roman" w:hAnsi="Times New Roman" w:cs="Times New Roman"/>
          <w:sz w:val="24"/>
          <w:szCs w:val="24"/>
        </w:rPr>
        <w:t xml:space="preserve"> as the politically-correct term, it nervetheless carries problems, as “just because a person’s ancestors suffered untouchability does not automatically mean that he/she identifies with those political groups that employ the term Dalit” (2014). The term Dalit is rooted in the caste system, and it is thereby rooted in deeply held, historically dictated social divisions. While these divisions have certainly manifested themselves in systemic socio-economic turmoil among Dalit communities, institutionalized discrimination and isolation, and, largely, ostracization from mainstream media spheres, many members of so-called Dalit communities do not wish to </w:t>
      </w:r>
      <w:proofErr w:type="gramStart"/>
      <w:r>
        <w:rPr>
          <w:rFonts w:ascii="Times New Roman" w:eastAsia="Times New Roman" w:hAnsi="Times New Roman" w:cs="Times New Roman"/>
          <w:sz w:val="24"/>
          <w:szCs w:val="24"/>
        </w:rPr>
        <w:t>be referred</w:t>
      </w:r>
      <w:proofErr w:type="gramEnd"/>
      <w:r>
        <w:rPr>
          <w:rFonts w:ascii="Times New Roman" w:eastAsia="Times New Roman" w:hAnsi="Times New Roman" w:cs="Times New Roman"/>
          <w:sz w:val="24"/>
          <w:szCs w:val="24"/>
        </w:rPr>
        <w:t xml:space="preserve"> by this label. Still goes on to address the use of the word “Untouchable,” which is perhaps the most recognizable term by the international community, but reiterates that many activists, scholars and ordinary Dalits find the use of the term ‘Untouchable’ (and its vernacular equivalents) deeply reprehensible” (2014). However, Still further explains that her use of the term </w:t>
      </w:r>
      <w:r>
        <w:rPr>
          <w:rFonts w:ascii="Times New Roman" w:eastAsia="Times New Roman" w:hAnsi="Times New Roman" w:cs="Times New Roman"/>
          <w:i/>
          <w:sz w:val="24"/>
          <w:szCs w:val="24"/>
        </w:rPr>
        <w:t>Dalit</w:t>
      </w:r>
      <w:r>
        <w:rPr>
          <w:rFonts w:ascii="Times New Roman" w:eastAsia="Times New Roman" w:hAnsi="Times New Roman" w:cs="Times New Roman"/>
          <w:sz w:val="24"/>
          <w:szCs w:val="24"/>
        </w:rPr>
        <w:t xml:space="preserve"> is simply because “at the time of writing, it seems to be the least offensive and most widely-used name in the Indian media, literature and in academia” (2014). I am in agreeance with Still on her assessment of the use of the term </w:t>
      </w:r>
      <w:r>
        <w:rPr>
          <w:rFonts w:ascii="Times New Roman" w:eastAsia="Times New Roman" w:hAnsi="Times New Roman" w:cs="Times New Roman"/>
          <w:i/>
          <w:sz w:val="24"/>
          <w:szCs w:val="24"/>
        </w:rPr>
        <w:t>Dalit</w:t>
      </w:r>
      <w:r>
        <w:rPr>
          <w:rFonts w:ascii="Times New Roman" w:eastAsia="Times New Roman" w:hAnsi="Times New Roman" w:cs="Times New Roman"/>
          <w:sz w:val="24"/>
          <w:szCs w:val="24"/>
        </w:rPr>
        <w:t xml:space="preserve"> and provide the same justification for my use of the term in this article.</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This article will be using feminist media theory and social movement theory as theoretical lenses. Feminist media theory, evidently, is rooted in general feminist theory within the field of mass communication studies. Linda Steiner argues that feminist theory is inherently political (2014). Feminist media theory looks at power structures operating within media systems and, historically, it has focussed on the general marginalization of women within media structures. Steiner, however, explains that this view has historically </w:t>
      </w:r>
      <w:r>
        <w:rPr>
          <w:rFonts w:ascii="Times New Roman" w:eastAsia="Times New Roman" w:hAnsi="Times New Roman" w:cs="Times New Roman"/>
          <w:i/>
          <w:sz w:val="24"/>
          <w:szCs w:val="24"/>
        </w:rPr>
        <w:t>contributed</w:t>
      </w:r>
      <w:r>
        <w:rPr>
          <w:rFonts w:ascii="Times New Roman" w:eastAsia="Times New Roman" w:hAnsi="Times New Roman" w:cs="Times New Roman"/>
          <w:sz w:val="24"/>
          <w:szCs w:val="24"/>
        </w:rPr>
        <w:t xml:space="preserve"> to the marginalization and invalidation of “</w:t>
      </w:r>
      <w:r>
        <w:rPr>
          <w:rFonts w:ascii="Times New Roman" w:eastAsia="Times New Roman" w:hAnsi="Times New Roman" w:cs="Times New Roman"/>
          <w:color w:val="1C1D1E"/>
          <w:sz w:val="24"/>
          <w:szCs w:val="24"/>
          <w:highlight w:val="white"/>
        </w:rPr>
        <w:t>women of color, sexual minorities, people marginalized by physical or cognitive (in)ability,” and, consequently, the focus within feminist media theory has shifted to valorizing these identities and “international and multidisciplinary work seriously addressing media convergence and globalizatio</w:t>
      </w:r>
      <w:r>
        <w:rPr>
          <w:rFonts w:ascii="Times New Roman" w:eastAsia="Times New Roman" w:hAnsi="Times New Roman" w:cs="Times New Roman"/>
          <w:sz w:val="24"/>
          <w:szCs w:val="24"/>
        </w:rPr>
        <w:t xml:space="preserve">n” (2014). Feminist media theory has thus developed to not only look at the power structures operating within the institution that is the media and their focus on women, but also on other marginalized identities, many of which intersect with gender. </w:t>
      </w:r>
      <w:proofErr w:type="gramStart"/>
      <w:r>
        <w:rPr>
          <w:rFonts w:ascii="Times New Roman" w:eastAsia="Times New Roman" w:hAnsi="Times New Roman" w:cs="Times New Roman"/>
          <w:sz w:val="24"/>
          <w:szCs w:val="24"/>
        </w:rPr>
        <w:t>This could and has taken the form of analyzing institutional sexism, transphobia, classism, and other intersectional feminist issues.</w:t>
      </w:r>
      <w:proofErr w:type="gramEnd"/>
      <w:r>
        <w:rPr>
          <w:rFonts w:ascii="Times New Roman" w:eastAsia="Times New Roman" w:hAnsi="Times New Roman" w:cs="Times New Roman"/>
          <w:sz w:val="24"/>
          <w:szCs w:val="24"/>
        </w:rPr>
        <w:t xml:space="preserve"> The ways in which it </w:t>
      </w:r>
      <w:proofErr w:type="gramStart"/>
      <w:r>
        <w:rPr>
          <w:rFonts w:ascii="Times New Roman" w:eastAsia="Times New Roman" w:hAnsi="Times New Roman" w:cs="Times New Roman"/>
          <w:sz w:val="24"/>
          <w:szCs w:val="24"/>
        </w:rPr>
        <w:t>will be employed</w:t>
      </w:r>
      <w:proofErr w:type="gramEnd"/>
      <w:r>
        <w:rPr>
          <w:rFonts w:ascii="Times New Roman" w:eastAsia="Times New Roman" w:hAnsi="Times New Roman" w:cs="Times New Roman"/>
          <w:sz w:val="24"/>
          <w:szCs w:val="24"/>
        </w:rPr>
        <w:t xml:space="preserve"> in this essay will be examining the intersections of socio-economic marginalization, i.e. of Dalit communities through the caste system, and their impacts on women-identifying folks within Dalit communities.</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Theory of social movements (supra) refers, as paraphrased by Bosi, focusses on four main points of observation, “(a) the relationship between structural change and transformations in patterns of social conflict; (b) the role of cultural representations in enabling collective action; (c) the mechanisms that render it rational to mobilize on collective goals; and (d) the effects of the political and institutional context on social movements development and evolution” (2017).</w:t>
      </w:r>
      <w:proofErr w:type="gramEnd"/>
      <w:r>
        <w:rPr>
          <w:rFonts w:ascii="Times New Roman" w:eastAsia="Times New Roman" w:hAnsi="Times New Roman" w:cs="Times New Roman"/>
          <w:sz w:val="24"/>
          <w:szCs w:val="24"/>
        </w:rPr>
        <w:t xml:space="preserve"> This article will be using these four questions as guiding points when analyzing feminist digital activism among Dalit communities. As the theory of social movements tends to be very broad in scope, the </w:t>
      </w:r>
      <w:r>
        <w:rPr>
          <w:rFonts w:ascii="Times New Roman" w:eastAsia="Times New Roman" w:hAnsi="Times New Roman" w:cs="Times New Roman"/>
          <w:sz w:val="24"/>
          <w:szCs w:val="24"/>
        </w:rPr>
        <w:lastRenderedPageBreak/>
        <w:t>coupling of this theory and feminist media theory will narrow the scope of this article and allow for deeper analysis.</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Historical Background</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with most marginalized communities, the socio-economic marginalization of Dalit communities, particularly women, translates to marginalization within media/pop-culture spheres (see </w:t>
      </w:r>
      <w:r>
        <w:rPr>
          <w:rFonts w:ascii="Times New Roman" w:eastAsia="Times New Roman" w:hAnsi="Times New Roman" w:cs="Times New Roman"/>
          <w:i/>
          <w:sz w:val="24"/>
          <w:szCs w:val="24"/>
        </w:rPr>
        <w:t>Figure 1</w:t>
      </w:r>
      <w:r>
        <w:rPr>
          <w:rFonts w:ascii="Times New Roman" w:eastAsia="Times New Roman" w:hAnsi="Times New Roman" w:cs="Times New Roman"/>
          <w:sz w:val="24"/>
          <w:szCs w:val="24"/>
        </w:rPr>
        <w:t xml:space="preserve">). Isolation and ostracization from mainstream media conversations contributes to oppressive power dynamics, in which media content </w:t>
      </w:r>
      <w:proofErr w:type="gramStart"/>
      <w:r>
        <w:rPr>
          <w:rFonts w:ascii="Times New Roman" w:eastAsia="Times New Roman" w:hAnsi="Times New Roman" w:cs="Times New Roman"/>
          <w:sz w:val="24"/>
          <w:szCs w:val="24"/>
        </w:rPr>
        <w:t>is made</w:t>
      </w:r>
      <w:proofErr w:type="gramEnd"/>
      <w:r>
        <w:rPr>
          <w:rFonts w:ascii="Times New Roman" w:eastAsia="Times New Roman" w:hAnsi="Times New Roman" w:cs="Times New Roman"/>
          <w:sz w:val="24"/>
          <w:szCs w:val="24"/>
        </w:rPr>
        <w:t xml:space="preserve"> by and for higher castes. Moreover, this leads to media narratives, particularly when addressing social issues and politics, catering to the wishes and viewpoints commonly held by higher castes. </w:t>
      </w:r>
    </w:p>
    <w:p w:rsidR="00C30C8B" w:rsidRDefault="001E516C" w:rsidP="001E516C">
      <w:pPr>
        <w:keepNext/>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3648038" cy="4385193"/>
            <wp:effectExtent l="0" t="0" r="0" b="0"/>
            <wp:docPr id="1" name="image3.jpg" descr="Courtesy Oxfam India report"/>
            <wp:cNvGraphicFramePr/>
            <a:graphic xmlns:a="http://schemas.openxmlformats.org/drawingml/2006/main">
              <a:graphicData uri="http://schemas.openxmlformats.org/drawingml/2006/picture">
                <pic:pic xmlns:pic="http://schemas.openxmlformats.org/drawingml/2006/picture">
                  <pic:nvPicPr>
                    <pic:cNvPr id="0" name="image3.jpg" descr="Courtesy Oxfam India report"/>
                    <pic:cNvPicPr preferRelativeResize="0"/>
                  </pic:nvPicPr>
                  <pic:blipFill>
                    <a:blip r:embed="rId114"/>
                    <a:srcRect/>
                    <a:stretch>
                      <a:fillRect/>
                    </a:stretch>
                  </pic:blipFill>
                  <pic:spPr>
                    <a:xfrm>
                      <a:off x="0" y="0"/>
                      <a:ext cx="3648038" cy="4385193"/>
                    </a:xfrm>
                    <a:prstGeom prst="rect">
                      <a:avLst/>
                    </a:prstGeom>
                    <a:ln/>
                  </pic:spPr>
                </pic:pic>
              </a:graphicData>
            </a:graphic>
          </wp:inline>
        </w:drawing>
      </w:r>
    </w:p>
    <w:p w:rsidR="00C30C8B" w:rsidRDefault="001E516C" w:rsidP="001E516C">
      <w:pPr>
        <w:spacing w:after="200" w:line="240" w:lineRule="auto"/>
        <w:jc w:val="both"/>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Figure 1, Courtesy of OXFAM India Report</w:t>
      </w:r>
    </w:p>
    <w:p w:rsidR="00C30C8B" w:rsidRDefault="00C30C8B" w:rsidP="001E516C">
      <w:pPr>
        <w:spacing w:line="480" w:lineRule="auto"/>
        <w:jc w:val="both"/>
        <w:rPr>
          <w:rFonts w:ascii="Times New Roman" w:eastAsia="Times New Roman" w:hAnsi="Times New Roman" w:cs="Times New Roman"/>
          <w:sz w:val="24"/>
          <w:szCs w:val="24"/>
        </w:rPr>
      </w:pP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As demonstrated by the figure above, Dalit communities (labelled above as SC, </w:t>
      </w:r>
      <w:r>
        <w:rPr>
          <w:rFonts w:ascii="Times New Roman" w:eastAsia="Times New Roman" w:hAnsi="Times New Roman" w:cs="Times New Roman"/>
          <w:i/>
          <w:sz w:val="24"/>
          <w:szCs w:val="24"/>
        </w:rPr>
        <w:t>“Scheduled Castes”</w:t>
      </w:r>
      <w:r>
        <w:rPr>
          <w:rFonts w:ascii="Times New Roman" w:eastAsia="Times New Roman" w:hAnsi="Times New Roman" w:cs="Times New Roman"/>
          <w:sz w:val="24"/>
          <w:szCs w:val="24"/>
        </w:rPr>
        <w:t xml:space="preserve">), hold marginal amounts of leadership positions within Indian media. The above figure is particularly compelling as it addresses not only just the general need for space to be held by Dalit community members, </w:t>
      </w: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the particular need for </w:t>
      </w:r>
      <w:r>
        <w:rPr>
          <w:rFonts w:ascii="Times New Roman" w:eastAsia="Times New Roman" w:hAnsi="Times New Roman" w:cs="Times New Roman"/>
          <w:i/>
          <w:sz w:val="24"/>
          <w:szCs w:val="24"/>
        </w:rPr>
        <w:t>leadership</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roles</w:t>
      </w:r>
      <w:r>
        <w:rPr>
          <w:rFonts w:ascii="Times New Roman" w:eastAsia="Times New Roman" w:hAnsi="Times New Roman" w:cs="Times New Roman"/>
          <w:sz w:val="24"/>
          <w:szCs w:val="24"/>
        </w:rPr>
        <w:t xml:space="preserve"> to be held by Dalit community members in India media.  </w:t>
      </w:r>
    </w:p>
    <w:p w:rsidR="00C30C8B" w:rsidRDefault="001E516C" w:rsidP="001E516C">
      <w:pPr>
        <w:keepNext/>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2813316" cy="4481394"/>
            <wp:effectExtent l="0" t="0" r="0" b="0"/>
            <wp:docPr id="5" name="image1.jpg" descr="Courtesy Oxfam India report"/>
            <wp:cNvGraphicFramePr/>
            <a:graphic xmlns:a="http://schemas.openxmlformats.org/drawingml/2006/main">
              <a:graphicData uri="http://schemas.openxmlformats.org/drawingml/2006/picture">
                <pic:pic xmlns:pic="http://schemas.openxmlformats.org/drawingml/2006/picture">
                  <pic:nvPicPr>
                    <pic:cNvPr id="0" name="image1.jpg" descr="Courtesy Oxfam India report"/>
                    <pic:cNvPicPr preferRelativeResize="0"/>
                  </pic:nvPicPr>
                  <pic:blipFill>
                    <a:blip r:embed="rId115"/>
                    <a:srcRect/>
                    <a:stretch>
                      <a:fillRect/>
                    </a:stretch>
                  </pic:blipFill>
                  <pic:spPr>
                    <a:xfrm>
                      <a:off x="0" y="0"/>
                      <a:ext cx="2813316" cy="4481394"/>
                    </a:xfrm>
                    <a:prstGeom prst="rect">
                      <a:avLst/>
                    </a:prstGeom>
                    <a:ln/>
                  </pic:spPr>
                </pic:pic>
              </a:graphicData>
            </a:graphic>
          </wp:inline>
        </w:drawing>
      </w:r>
    </w:p>
    <w:p w:rsidR="00C30C8B" w:rsidRDefault="001E516C" w:rsidP="001E516C">
      <w:pPr>
        <w:spacing w:after="200" w:line="240" w:lineRule="auto"/>
        <w:jc w:val="both"/>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Figure 2, Courtest of OXFAM India Report</w:t>
      </w:r>
    </w:p>
    <w:p w:rsidR="00C30C8B" w:rsidRDefault="00C30C8B" w:rsidP="001E516C">
      <w:pPr>
        <w:spacing w:line="240" w:lineRule="auto"/>
        <w:jc w:val="both"/>
        <w:rPr>
          <w:rFonts w:ascii="Times New Roman" w:eastAsia="Times New Roman" w:hAnsi="Times New Roman" w:cs="Times New Roman"/>
          <w:sz w:val="24"/>
          <w:szCs w:val="24"/>
        </w:rPr>
      </w:pP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When looking at the discussions of caste issues in particular in Indian media, the statistics show further lack of representation. The vast majority of major media corporations, particularly in English media, hold single-digit levels of caste issues that </w:t>
      </w:r>
      <w:proofErr w:type="gramStart"/>
      <w:r>
        <w:rPr>
          <w:rFonts w:ascii="Times New Roman" w:eastAsia="Times New Roman" w:hAnsi="Times New Roman" w:cs="Times New Roman"/>
          <w:sz w:val="24"/>
          <w:szCs w:val="24"/>
        </w:rPr>
        <w:t>are discussed</w:t>
      </w:r>
      <w:proofErr w:type="gramEnd"/>
      <w:r>
        <w:rPr>
          <w:rFonts w:ascii="Times New Roman" w:eastAsia="Times New Roman" w:hAnsi="Times New Roman" w:cs="Times New Roman"/>
          <w:sz w:val="24"/>
          <w:szCs w:val="24"/>
        </w:rPr>
        <w:t xml:space="preserve"> by Dalit analysts. If one analyzes figures on Dalit women in Indian media, the figures become much sparser and seemingly </w:t>
      </w:r>
      <w:r>
        <w:rPr>
          <w:rFonts w:ascii="Times New Roman" w:eastAsia="Times New Roman" w:hAnsi="Times New Roman" w:cs="Times New Roman"/>
          <w:sz w:val="24"/>
          <w:szCs w:val="24"/>
        </w:rPr>
        <w:lastRenderedPageBreak/>
        <w:t xml:space="preserve">under-researched. This does not indicate favourable levels of media representation of Dalit women. </w:t>
      </w:r>
    </w:p>
    <w:p w:rsidR="00C30C8B" w:rsidRDefault="001E516C" w:rsidP="001E516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Tying back to Bosi’s text, social movement theory asks about the role of cultural representations in enabling action (2017). This article will be looking at the historical and current marginalization of Dalit individuals from media spheres as a springboard for collective action </w:t>
      </w:r>
      <w:proofErr w:type="gramStart"/>
      <w:r>
        <w:rPr>
          <w:rFonts w:ascii="Times New Roman" w:eastAsia="Times New Roman" w:hAnsi="Times New Roman" w:cs="Times New Roman"/>
          <w:sz w:val="24"/>
          <w:szCs w:val="24"/>
        </w:rPr>
        <w:t>being taken</w:t>
      </w:r>
      <w:proofErr w:type="gramEnd"/>
      <w:r>
        <w:rPr>
          <w:rFonts w:ascii="Times New Roman" w:eastAsia="Times New Roman" w:hAnsi="Times New Roman" w:cs="Times New Roman"/>
          <w:sz w:val="24"/>
          <w:szCs w:val="24"/>
        </w:rPr>
        <w:t xml:space="preserve"> on self-directed platforms, i.e. social media.</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Current Literature on the Subject</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Kumbojkar’s text begins by explaining the role of Dr. Ambedkar in mobilizing Dalit communities (2018). Dr. Ambedkar’s ideas were in favour of breaking down caste barriers and named himself and his community as “Dalit” to highlight the marginalization they face. His ultimate goal was to reconstruct the Dalit identity and brake away from its caste associations. The author explains that Dr. Ambedkar served as a pivotal figure for Dalit activists, particularly because he served as a uniting force and single representative of the Dalit cause. This is a feat considering Dalit communities are comprised of such diversity, and often, lack of consensus.</w:t>
      </w:r>
    </w:p>
    <w:p w:rsidR="00C30C8B" w:rsidRDefault="001E516C" w:rsidP="001E516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Kumbhojkar further provides analysis of the use of YouTube and Facebook among Dalit activism. The dawn of YouTube allowed for a resurgence of attention on Dr. Ambedkar’s writings, as videos of his speeches, his funeral procession, and his follower’ speeches allowed for democratized access to his political thought (Kumbhojkar, 2018). Moreover, Ambedkarite music has become increasingly popular on YouTube, garnering millions of views. In addition to allowing many Dalit communities in India access to Ambedkar’s speeches calling for Dalit emancipation, this has also allowed his speeches to reach members of the Dalit diaspora and communities in Pakistan and Nepal. This has served as unifying force for Dalit communities, aligned with the call for unity of Dr. Ambedkar himself (Kumbhojkar, 2018). Kumbhojkar also highlights the YouTube </w:t>
      </w:r>
      <w:r>
        <w:rPr>
          <w:rFonts w:ascii="Times New Roman" w:eastAsia="Times New Roman" w:hAnsi="Times New Roman" w:cs="Times New Roman"/>
          <w:sz w:val="24"/>
          <w:szCs w:val="24"/>
        </w:rPr>
        <w:lastRenderedPageBreak/>
        <w:t>chancel Dalit Camera, which has over six million views and is dedicated solely to providing content relevant to Dalit communities.</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Moreover, Facebook has also become a tool for Dalit communities to mobilize. Kumbojkar explains that Facebook has become a platform for Dalit communities to connect with one another. Whatsapp, in tandem with Facebook </w:t>
      </w:r>
      <w:proofErr w:type="gramStart"/>
      <w:r>
        <w:rPr>
          <w:rFonts w:ascii="Times New Roman" w:eastAsia="Times New Roman" w:hAnsi="Times New Roman" w:cs="Times New Roman"/>
          <w:sz w:val="24"/>
          <w:szCs w:val="24"/>
        </w:rPr>
        <w:t>have both been used</w:t>
      </w:r>
      <w:proofErr w:type="gramEnd"/>
      <w:r>
        <w:rPr>
          <w:rFonts w:ascii="Times New Roman" w:eastAsia="Times New Roman" w:hAnsi="Times New Roman" w:cs="Times New Roman"/>
          <w:sz w:val="24"/>
          <w:szCs w:val="24"/>
        </w:rPr>
        <w:t xml:space="preserve"> as safety measures during Dalit protests. The author gives the example of a demonstration in honour of Dr. Ambedkar </w:t>
      </w:r>
      <w:proofErr w:type="gramStart"/>
      <w:r>
        <w:rPr>
          <w:rFonts w:ascii="Times New Roman" w:eastAsia="Times New Roman" w:hAnsi="Times New Roman" w:cs="Times New Roman"/>
          <w:sz w:val="24"/>
          <w:szCs w:val="24"/>
        </w:rPr>
        <w:t>being held</w:t>
      </w:r>
      <w:proofErr w:type="gramEnd"/>
      <w:r>
        <w:rPr>
          <w:rFonts w:ascii="Times New Roman" w:eastAsia="Times New Roman" w:hAnsi="Times New Roman" w:cs="Times New Roman"/>
          <w:sz w:val="24"/>
          <w:szCs w:val="24"/>
        </w:rPr>
        <w:t xml:space="preserve"> in Mumbai, where a cyclone warning was put out, and demonstrators organized protection, food, and shelter for all participants, using Facebook and Whatsapp for means of communication. Moreover, Facebook gives platforms for planning these protests, while Whatsapp allows for </w:t>
      </w:r>
      <w:proofErr w:type="gramStart"/>
      <w:r>
        <w:rPr>
          <w:rFonts w:ascii="Times New Roman" w:eastAsia="Times New Roman" w:hAnsi="Times New Roman" w:cs="Times New Roman"/>
          <w:sz w:val="24"/>
          <w:szCs w:val="24"/>
        </w:rPr>
        <w:t>more private discussion</w:t>
      </w:r>
      <w:proofErr w:type="gramEnd"/>
      <w:r>
        <w:rPr>
          <w:rFonts w:ascii="Times New Roman" w:eastAsia="Times New Roman" w:hAnsi="Times New Roman" w:cs="Times New Roman"/>
          <w:sz w:val="24"/>
          <w:szCs w:val="24"/>
        </w:rPr>
        <w:t>.</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Kumbojkar’s argument is both compelling and in accordance with that of mine. The third question asked by social movement theory, i.e. the mechanism(s) that enable collective action towards collective goals (Bosi, 2017). Looking at these forms of social media, in which there is no monopoly on who may create content, we see both Facebook and YouTube being utilized as tools to both uplift and unite Dalit communities, and particularly, Dalit women who have been left in the dark by top-down controlled media systems. The author’s explanation of specific platforms in particular, i.e. Facebook, Whatsapp, and YouTube, being unifying forces reminiscent of the rallying power of Dr. Ambedkar himself is thoughtful and compelling. The article further proves the shifting face of Dalit activism in the wake of social media. Using a feminist lens, this unifying force serves as a powerful link between Dalit women, who are finally being able to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 create and distribute media content, b) be represented in media sphere, and c) organize collectively and efficiently. This article furthers the argument of this article, that is, that social media activism has given a new era to Dalit feminist activism, with those who have historically been isolated from mainstream political discourse, to reclaim media narratives.</w:t>
      </w:r>
    </w:p>
    <w:p w:rsidR="00C30C8B" w:rsidRDefault="00C30C8B" w:rsidP="001E516C">
      <w:pPr>
        <w:spacing w:line="240" w:lineRule="auto"/>
        <w:jc w:val="both"/>
        <w:rPr>
          <w:rFonts w:ascii="Times New Roman" w:eastAsia="Times New Roman" w:hAnsi="Times New Roman" w:cs="Times New Roman"/>
          <w:sz w:val="24"/>
          <w:szCs w:val="24"/>
          <w:highlight w:val="white"/>
        </w:rPr>
      </w:pPr>
    </w:p>
    <w:p w:rsidR="00C30C8B" w:rsidRDefault="001E516C" w:rsidP="001E516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Kumar and </w:t>
      </w:r>
      <w:proofErr w:type="gramStart"/>
      <w:r>
        <w:rPr>
          <w:rFonts w:ascii="Times New Roman" w:eastAsia="Times New Roman" w:hAnsi="Times New Roman" w:cs="Times New Roman"/>
          <w:sz w:val="24"/>
          <w:szCs w:val="24"/>
          <w:highlight w:val="white"/>
        </w:rPr>
        <w:t>Subramani’ s</w:t>
      </w:r>
      <w:proofErr w:type="gramEnd"/>
      <w:r>
        <w:rPr>
          <w:rFonts w:ascii="Times New Roman" w:eastAsia="Times New Roman" w:hAnsi="Times New Roman" w:cs="Times New Roman"/>
          <w:sz w:val="24"/>
          <w:szCs w:val="24"/>
          <w:highlight w:val="white"/>
        </w:rPr>
        <w:t xml:space="preserve"> article (2014)  provides a valuable contextual analysis of Dalit media platforms. Kumar and Subramani begin by briefing the reader on the criticisms of mainstream Indian media being casteist by influential Dalit figures, many of whom have called for separate Dalit media outlets to </w:t>
      </w:r>
      <w:proofErr w:type="gramStart"/>
      <w:r>
        <w:rPr>
          <w:rFonts w:ascii="Times New Roman" w:eastAsia="Times New Roman" w:hAnsi="Times New Roman" w:cs="Times New Roman"/>
          <w:sz w:val="24"/>
          <w:szCs w:val="24"/>
          <w:highlight w:val="white"/>
        </w:rPr>
        <w:t>be made</w:t>
      </w:r>
      <w:proofErr w:type="gramEnd"/>
      <w:r>
        <w:rPr>
          <w:rFonts w:ascii="Times New Roman" w:eastAsia="Times New Roman" w:hAnsi="Times New Roman" w:cs="Times New Roman"/>
          <w:sz w:val="24"/>
          <w:szCs w:val="24"/>
          <w:highlight w:val="white"/>
        </w:rPr>
        <w:t xml:space="preserve">. However, historically, Dalit media platforms (newspapers, magazines, etc.), have not been able to sustain themselves and have been outlives by more prominent non-Dalit media corporations. The authors note that the problem runs deep into the corporate structure of Indian media, with ownership of media outlets </w:t>
      </w:r>
      <w:proofErr w:type="gramStart"/>
      <w:r>
        <w:rPr>
          <w:rFonts w:ascii="Times New Roman" w:eastAsia="Times New Roman" w:hAnsi="Times New Roman" w:cs="Times New Roman"/>
          <w:sz w:val="24"/>
          <w:szCs w:val="24"/>
          <w:highlight w:val="white"/>
        </w:rPr>
        <w:t>being virtually monopolized</w:t>
      </w:r>
      <w:proofErr w:type="gramEnd"/>
      <w:r>
        <w:rPr>
          <w:rFonts w:ascii="Times New Roman" w:eastAsia="Times New Roman" w:hAnsi="Times New Roman" w:cs="Times New Roman"/>
          <w:sz w:val="24"/>
          <w:szCs w:val="24"/>
          <w:highlight w:val="white"/>
        </w:rPr>
        <w:t xml:space="preserve"> by higher castes. </w:t>
      </w:r>
    </w:p>
    <w:p w:rsidR="00C30C8B" w:rsidRDefault="001E516C" w:rsidP="001E516C">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The writers then acknowledge the existence of a digital divide – that is to say, disproportionate level of Dalits who do not have access to internet compared to those who do. Moreover, it </w:t>
      </w:r>
      <w:proofErr w:type="gramStart"/>
      <w:r>
        <w:rPr>
          <w:rFonts w:ascii="Times New Roman" w:eastAsia="Times New Roman" w:hAnsi="Times New Roman" w:cs="Times New Roman"/>
          <w:sz w:val="24"/>
          <w:szCs w:val="24"/>
          <w:highlight w:val="white"/>
        </w:rPr>
        <w:t>is acknowledged</w:t>
      </w:r>
      <w:proofErr w:type="gramEnd"/>
      <w:r>
        <w:rPr>
          <w:rFonts w:ascii="Times New Roman" w:eastAsia="Times New Roman" w:hAnsi="Times New Roman" w:cs="Times New Roman"/>
          <w:sz w:val="24"/>
          <w:szCs w:val="24"/>
          <w:highlight w:val="white"/>
        </w:rPr>
        <w:t xml:space="preserve"> that many Dalit user do not speak English – a barrier for internet usage (Kumar &amp; Subramani, 2014).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t>The article argues that while historical and systemic marginalization has normalized the ostracization of Dalits from media circles, there is a growing presence of Dalits within Indian media, particularly since the rise of the internet. While Dalits currently occupy small numbers of places within media corporations, and often times fill only low-level positions, the Internet shows potential for Dalit activism, particularly by being used as a community-building tool, and a tool to “</w:t>
      </w:r>
      <w:r>
        <w:rPr>
          <w:rFonts w:ascii="Times New Roman" w:eastAsia="Times New Roman" w:hAnsi="Times New Roman" w:cs="Times New Roman"/>
          <w:sz w:val="24"/>
          <w:szCs w:val="24"/>
        </w:rPr>
        <w:t xml:space="preserve">offer a counter–hegemonic representation of Dalits” (Kumar &amp; Subramini, 2014). This article will argue the same viewpoint. </w:t>
      </w:r>
      <w:proofErr w:type="gramStart"/>
      <w:r>
        <w:rPr>
          <w:rFonts w:ascii="Times New Roman" w:eastAsia="Times New Roman" w:hAnsi="Times New Roman" w:cs="Times New Roman"/>
          <w:sz w:val="24"/>
          <w:szCs w:val="24"/>
        </w:rPr>
        <w:t>The framework offered by Kumar and Subramini can very well be transferred</w:t>
      </w:r>
      <w:proofErr w:type="gramEnd"/>
      <w:r>
        <w:rPr>
          <w:rFonts w:ascii="Times New Roman" w:eastAsia="Times New Roman" w:hAnsi="Times New Roman" w:cs="Times New Roman"/>
          <w:sz w:val="24"/>
          <w:szCs w:val="24"/>
        </w:rPr>
        <w:t xml:space="preserve"> to a feminist theoretical perspective, as we see similar communities built within Dalit </w:t>
      </w:r>
      <w:r>
        <w:rPr>
          <w:rFonts w:ascii="Times New Roman" w:eastAsia="Times New Roman" w:hAnsi="Times New Roman" w:cs="Times New Roman"/>
          <w:i/>
          <w:sz w:val="24"/>
          <w:szCs w:val="24"/>
        </w:rPr>
        <w:t>women</w:t>
      </w:r>
      <w:r>
        <w:rPr>
          <w:rFonts w:ascii="Times New Roman" w:eastAsia="Times New Roman" w:hAnsi="Times New Roman" w:cs="Times New Roman"/>
          <w:sz w:val="24"/>
          <w:szCs w:val="24"/>
        </w:rPr>
        <w:t xml:space="preserve">, as a sub-group of Dalit activists. In the same way that larger Dalit communities are building community using the internet, this essay will argue that women within this larger community are finding solace in internet platforms, both in using them as platforms to connect and </w:t>
      </w:r>
      <w:r>
        <w:rPr>
          <w:rFonts w:ascii="Times New Roman" w:eastAsia="Times New Roman" w:hAnsi="Times New Roman" w:cs="Times New Roman"/>
          <w:sz w:val="24"/>
          <w:szCs w:val="24"/>
        </w:rPr>
        <w:lastRenderedPageBreak/>
        <w:t xml:space="preserve">build community, and as creating a larger presence in the media, changing the norms of caste representation in Indian media.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 Kruijf (2015) discusses the use of internet by Dalit organizations as a way to re-write historical narratives and correct misinformation about Dalit communities and caste oppression. Moreover, the author discusses the role of internet as a powerful discursive tool for Dalit communities to hash out political disputes – essentially, a tool to aid in participatory democracy. The author discusses the reactive nature of Dalit online presence, causing it to be quite spotty in frequency and intensity. Moreover, most Dalit users do not focus on one platform, but make use of a handful of social media platforms. De Kruijf furthers this point by noting that Dalit online presence “materializes as a creative combination of original content and recycled contemplations and images of fellow Dalits and global icons of political struggle” (De Kruijf, 2015, p. 21). </w:t>
      </w:r>
    </w:p>
    <w:p w:rsidR="00C30C8B" w:rsidRDefault="001E516C" w:rsidP="001E516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he analyzes the individual nature of Dalit collective action, remarking that online activism for Dalit users seems to be as much of a discovery of oneself as it is a larger political movement. This is particularly interesting as De Kruijf notes that “activist stance of Dalits is influenced by the experience of double/multiple marginality and by the experience of being an insider outside because of migration, education or whatever kind of untypical socio-economic mobility” (De Kruijf, 2015, p. 21). This essay will grow upon this point, as the “double marginality” nature of Dalit women makes the participatory nature of Internet activism that much more valuable. The reactionary nature of Dalit internet use </w:t>
      </w:r>
      <w:proofErr w:type="gramStart"/>
      <w:r>
        <w:rPr>
          <w:rFonts w:ascii="Times New Roman" w:eastAsia="Times New Roman" w:hAnsi="Times New Roman" w:cs="Times New Roman"/>
          <w:sz w:val="24"/>
          <w:szCs w:val="24"/>
        </w:rPr>
        <w:t>will be examined</w:t>
      </w:r>
      <w:proofErr w:type="gramEnd"/>
      <w:r>
        <w:rPr>
          <w:rFonts w:ascii="Times New Roman" w:eastAsia="Times New Roman" w:hAnsi="Times New Roman" w:cs="Times New Roman"/>
          <w:sz w:val="24"/>
          <w:szCs w:val="24"/>
        </w:rPr>
        <w:t xml:space="preserve"> further as this paper analyzes the #WhyLoiter campaign, a reactionary online measure taken against sexual harassment and rape culture in India. </w:t>
      </w:r>
    </w:p>
    <w:p w:rsidR="00C30C8B" w:rsidRDefault="001E516C" w:rsidP="001E516C">
      <w:pPr>
        <w:spacing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Waldrop (2004)  reconceptualizes casteism in India and explains that the caste system has too often been considered a “static phenomenon of 'traditional' India, and hence that these are insufficient for an understanding of caste in India today,” meaning that many believed that in post-</w:t>
      </w:r>
      <w:r>
        <w:rPr>
          <w:rFonts w:ascii="Times New Roman" w:eastAsia="Times New Roman" w:hAnsi="Times New Roman" w:cs="Times New Roman"/>
          <w:sz w:val="24"/>
          <w:szCs w:val="24"/>
        </w:rPr>
        <w:lastRenderedPageBreak/>
        <w:t>colonial India, the caste system would soon enough become obsolete and lose its institutional pull (Waldrop, 2004, p. 276).</w:t>
      </w:r>
      <w:proofErr w:type="gramEnd"/>
      <w:r>
        <w:rPr>
          <w:rFonts w:ascii="Times New Roman" w:eastAsia="Times New Roman" w:hAnsi="Times New Roman" w:cs="Times New Roman"/>
          <w:sz w:val="24"/>
          <w:szCs w:val="24"/>
        </w:rPr>
        <w:t xml:space="preserve"> The author takes a different approach, further writing that “although in many places caste has lost its institutionalised basis in the village, due to urbanisation and industrialisation, its importance has not decreased” (Waldrop, 2004, p. 276). This re-positioning of casteism in India is crucial to understanding Dalit activism. As explained by Kumbhojkar, in post-colonial India, Dalit communities have long attempted to draw themselves away from their caste systems, following the teachings of Dr. Ambedkar and re-defining themselves as Dalits rather than other casteist terms (Kumbhojkar, 2018). Waldrop summarizes the work of Dr. Ambedkar as arguing that in order to destroy the caste system, Dalits had to unite against the Brahmins, which to him meant an opposition against the whole Varna system and all castes within it” (Waldrop, 2004, p. 287). This article will draw heavily on this concept, as Internet space have proven themselves as effective community-building communities. She further explains that this reconstruction of Dalit identity is necessary to change casteist institutions and break down barriers to equality.</w:t>
      </w:r>
    </w:p>
    <w:p w:rsidR="00C30C8B" w:rsidRDefault="001E516C" w:rsidP="001E516C">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t xml:space="preserve">The author </w:t>
      </w:r>
      <w:proofErr w:type="gramStart"/>
      <w:r>
        <w:rPr>
          <w:rFonts w:ascii="Times New Roman" w:eastAsia="Times New Roman" w:hAnsi="Times New Roman" w:cs="Times New Roman"/>
          <w:sz w:val="24"/>
          <w:szCs w:val="24"/>
        </w:rPr>
        <w:t>argues that</w:t>
      </w:r>
      <w:proofErr w:type="gramEnd"/>
      <w:r>
        <w:rPr>
          <w:rFonts w:ascii="Times New Roman" w:eastAsia="Times New Roman" w:hAnsi="Times New Roman" w:cs="Times New Roman"/>
          <w:sz w:val="24"/>
          <w:szCs w:val="24"/>
        </w:rPr>
        <w:t xml:space="preserve"> “a historical and structural perspective is capable of capturing the many manifestations of caste practices and ideologies over time” (Waldrop, 2004, pp. 276). A historic viewpoint </w:t>
      </w:r>
      <w:proofErr w:type="gramStart"/>
      <w:r>
        <w:rPr>
          <w:rFonts w:ascii="Times New Roman" w:eastAsia="Times New Roman" w:hAnsi="Times New Roman" w:cs="Times New Roman"/>
          <w:sz w:val="24"/>
          <w:szCs w:val="24"/>
        </w:rPr>
        <w:t>is argued</w:t>
      </w:r>
      <w:proofErr w:type="gramEnd"/>
      <w:r>
        <w:rPr>
          <w:rFonts w:ascii="Times New Roman" w:eastAsia="Times New Roman" w:hAnsi="Times New Roman" w:cs="Times New Roman"/>
          <w:sz w:val="24"/>
          <w:szCs w:val="24"/>
        </w:rPr>
        <w:t xml:space="preserve"> to be useless and ineffective when analyzing caste dynamics in India. Moreover, the necessity in understanding the institutional manifestations of casteism in India (ex. in media structures), is emphasized. This </w:t>
      </w:r>
      <w:proofErr w:type="gramStart"/>
      <w:r>
        <w:rPr>
          <w:rFonts w:ascii="Times New Roman" w:eastAsia="Times New Roman" w:hAnsi="Times New Roman" w:cs="Times New Roman"/>
          <w:sz w:val="24"/>
          <w:szCs w:val="24"/>
        </w:rPr>
        <w:t>will be taken</w:t>
      </w:r>
      <w:proofErr w:type="gramEnd"/>
      <w:r>
        <w:rPr>
          <w:rFonts w:ascii="Times New Roman" w:eastAsia="Times New Roman" w:hAnsi="Times New Roman" w:cs="Times New Roman"/>
          <w:sz w:val="24"/>
          <w:szCs w:val="24"/>
        </w:rPr>
        <w:t xml:space="preserve"> into account when understanding the contextual significance of Dalit representation in mainstream media, and in analyzing Dalit emancipatory action using social media.</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#WhyLoiter Campaign</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Activism on social media platforms is, most often, reactionary. Particularly “Hashtag Activism,” is typically always in response to specific event. These instances become nodes in the </w:t>
      </w:r>
      <w:r>
        <w:rPr>
          <w:rFonts w:ascii="Times New Roman" w:eastAsia="Times New Roman" w:hAnsi="Times New Roman" w:cs="Times New Roman"/>
          <w:sz w:val="24"/>
          <w:szCs w:val="24"/>
        </w:rPr>
        <w:lastRenderedPageBreak/>
        <w:t xml:space="preserve">memory of social media users, and snowball until a hashtag </w:t>
      </w:r>
      <w:proofErr w:type="gramStart"/>
      <w:r>
        <w:rPr>
          <w:rFonts w:ascii="Times New Roman" w:eastAsia="Times New Roman" w:hAnsi="Times New Roman" w:cs="Times New Roman"/>
          <w:sz w:val="24"/>
          <w:szCs w:val="24"/>
        </w:rPr>
        <w:t>is formed</w:t>
      </w:r>
      <w:proofErr w:type="gramEnd"/>
      <w:r>
        <w:rPr>
          <w:rFonts w:ascii="Times New Roman" w:eastAsia="Times New Roman" w:hAnsi="Times New Roman" w:cs="Times New Roman"/>
          <w:sz w:val="24"/>
          <w:szCs w:val="24"/>
        </w:rPr>
        <w:t xml:space="preserve"> to thread through the needles of the interrelated social injustices, giving a slogan to a particular social movement. #MeToo is a cornerstone example of this. The hashtag began as reactionary pushback to the sexual harassment endured by one woman and has spiralled into the larger social movement against systemic sexual assault and harassment in the workforce.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India, the #WhyLoiter campaign trended as a way to protest rape culture and the lack of judicial deterrence for sexual assault in the country. The causative incident? The brutal sexual assault and murder of Jyoti Singh. Sonora Jha analyzes this hashtag through the framework of feminist media theory and theory of social movements, explaining that the #WhyLoiter campaign “extended and expanded on the resistance to rape culture in India by focusing on women’s claim to public space, thereby adding another facet to the growing anti-rape movement in India” (Jha, 2019). Women posted pictures of themselves in public spaces and used the hashtag #WhyLoiter to reaffirm a women’s right to occupy public space without threat of violence. The hashtag essentially backed countless women in their protests against their inability to feel safe in public spaces, and the growing trend of </w:t>
      </w:r>
      <w:proofErr w:type="gramStart"/>
      <w:r>
        <w:rPr>
          <w:rFonts w:ascii="Times New Roman" w:eastAsia="Times New Roman" w:hAnsi="Times New Roman" w:cs="Times New Roman"/>
          <w:sz w:val="24"/>
          <w:szCs w:val="24"/>
        </w:rPr>
        <w:t>victim-blaming</w:t>
      </w:r>
      <w:proofErr w:type="gramEnd"/>
      <w:r>
        <w:rPr>
          <w:rFonts w:ascii="Times New Roman" w:eastAsia="Times New Roman" w:hAnsi="Times New Roman" w:cs="Times New Roman"/>
          <w:sz w:val="24"/>
          <w:szCs w:val="24"/>
        </w:rPr>
        <w:t xml:space="preserve"> in sexual assault cases in India.</w:t>
      </w:r>
    </w:p>
    <w:p w:rsidR="00C30C8B" w:rsidRDefault="001E516C" w:rsidP="001E516C">
      <w:pPr>
        <w:keepNext/>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noProof/>
          <w:sz w:val="24"/>
          <w:szCs w:val="24"/>
          <w:lang w:val="en-US"/>
        </w:rPr>
        <w:drawing>
          <wp:inline distT="0" distB="0" distL="0" distR="0">
            <wp:extent cx="5943600" cy="3342005"/>
            <wp:effectExtent l="0" t="0" r="0" b="0"/>
            <wp:docPr id="3" name="image2.jpg" descr="A picture containing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screenshot&#10;&#10;Description automatically generated"/>
                    <pic:cNvPicPr preferRelativeResize="0"/>
                  </pic:nvPicPr>
                  <pic:blipFill>
                    <a:blip r:embed="rId116"/>
                    <a:srcRect/>
                    <a:stretch>
                      <a:fillRect/>
                    </a:stretch>
                  </pic:blipFill>
                  <pic:spPr>
                    <a:xfrm>
                      <a:off x="0" y="0"/>
                      <a:ext cx="5943600" cy="3342005"/>
                    </a:xfrm>
                    <a:prstGeom prst="rect">
                      <a:avLst/>
                    </a:prstGeom>
                    <a:ln/>
                  </pic:spPr>
                </pic:pic>
              </a:graphicData>
            </a:graphic>
          </wp:inline>
        </w:drawing>
      </w:r>
    </w:p>
    <w:p w:rsidR="00C30C8B" w:rsidRDefault="001E516C" w:rsidP="001E516C">
      <w:pPr>
        <w:spacing w:after="200" w:line="240" w:lineRule="auto"/>
        <w:jc w:val="both"/>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Figure 3: Courtesy of the National Crime Records Bureau</w:t>
      </w:r>
    </w:p>
    <w:p w:rsidR="00C30C8B" w:rsidRDefault="00C30C8B" w:rsidP="001E516C">
      <w:pPr>
        <w:spacing w:line="480" w:lineRule="auto"/>
        <w:jc w:val="both"/>
        <w:rPr>
          <w:rFonts w:ascii="Times New Roman" w:eastAsia="Times New Roman" w:hAnsi="Times New Roman" w:cs="Times New Roman"/>
          <w:sz w:val="24"/>
          <w:szCs w:val="24"/>
        </w:rPr>
      </w:pPr>
    </w:p>
    <w:p w:rsidR="00C30C8B" w:rsidRDefault="001E516C" w:rsidP="001E516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note the historical context behind this movement. Dalit women face particular vulnerability to sexual assault, as demonstrated by figure 3 (above). Moreover, among women who report their sexual assault, rates of conviction </w:t>
      </w:r>
      <w:proofErr w:type="gramStart"/>
      <w:r>
        <w:rPr>
          <w:rFonts w:ascii="Times New Roman" w:eastAsia="Times New Roman" w:hAnsi="Times New Roman" w:cs="Times New Roman"/>
          <w:sz w:val="24"/>
          <w:szCs w:val="24"/>
        </w:rPr>
        <w:t>are estimated</w:t>
      </w:r>
      <w:proofErr w:type="gramEnd"/>
      <w:r>
        <w:rPr>
          <w:rFonts w:ascii="Times New Roman" w:eastAsia="Times New Roman" w:hAnsi="Times New Roman" w:cs="Times New Roman"/>
          <w:sz w:val="24"/>
          <w:szCs w:val="24"/>
        </w:rPr>
        <w:t xml:space="preserve"> to be as low as 2% (International Dalit Solidarity Network, 2018). Even when looking at date on motives behind these attacks, Minority Rights Group International found that 70% of crimes committed against Dalit women were committed as Dalit women attempted to assert their rights or challenge patriarchal norms and gender roles (ex. modesty, career roles, etc.). Thus, when </w:t>
      </w:r>
      <w:proofErr w:type="gramStart"/>
      <w:r>
        <w:rPr>
          <w:rFonts w:ascii="Times New Roman" w:eastAsia="Times New Roman" w:hAnsi="Times New Roman" w:cs="Times New Roman"/>
          <w:sz w:val="24"/>
          <w:szCs w:val="24"/>
        </w:rPr>
        <w:t>analyzing the #WhyLoiter campaign,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is necessary to understand firstly the background norms and perhaps spring-boarded this rebellion, but also the level of risk that many women were putting themselves in by performing such a public rebellion.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While the hashtag gained momentum, casteism </w:t>
      </w:r>
      <w:proofErr w:type="gramStart"/>
      <w:r>
        <w:rPr>
          <w:rFonts w:ascii="Times New Roman" w:eastAsia="Times New Roman" w:hAnsi="Times New Roman" w:cs="Times New Roman"/>
          <w:sz w:val="24"/>
          <w:szCs w:val="24"/>
        </w:rPr>
        <w:t>came into the picture</w:t>
      </w:r>
      <w:proofErr w:type="gramEnd"/>
      <w:r>
        <w:rPr>
          <w:rFonts w:ascii="Times New Roman" w:eastAsia="Times New Roman" w:hAnsi="Times New Roman" w:cs="Times New Roman"/>
          <w:sz w:val="24"/>
          <w:szCs w:val="24"/>
        </w:rPr>
        <w:t xml:space="preserve"> shortly thereafter. Critics questioned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the movement could go beyond the socio-economic factors </w:t>
      </w:r>
      <w:r>
        <w:rPr>
          <w:rFonts w:ascii="Times New Roman" w:eastAsia="Times New Roman" w:hAnsi="Times New Roman" w:cs="Times New Roman"/>
          <w:sz w:val="24"/>
          <w:szCs w:val="24"/>
        </w:rPr>
        <w:lastRenderedPageBreak/>
        <w:t xml:space="preserve">working against Dalit women that made them more vulnerable to sexual attacks. The root of the criticism was in the symbolic nature of hashtag activism – </w:t>
      </w:r>
      <w:proofErr w:type="gramStart"/>
      <w:r>
        <w:rPr>
          <w:rFonts w:ascii="Times New Roman" w:eastAsia="Times New Roman" w:hAnsi="Times New Roman" w:cs="Times New Roman"/>
          <w:sz w:val="24"/>
          <w:szCs w:val="24"/>
        </w:rPr>
        <w:t xml:space="preserve">if a hashtag is just a symbol for a greater social movement, does it really have the ability to transcend pre-existing social institutions, or does it merely work </w:t>
      </w:r>
      <w:r>
        <w:rPr>
          <w:rFonts w:ascii="Times New Roman" w:eastAsia="Times New Roman" w:hAnsi="Times New Roman" w:cs="Times New Roman"/>
          <w:i/>
          <w:sz w:val="24"/>
          <w:szCs w:val="24"/>
        </w:rPr>
        <w:t>within</w:t>
      </w:r>
      <w:r>
        <w:rPr>
          <w:rFonts w:ascii="Times New Roman" w:eastAsia="Times New Roman" w:hAnsi="Times New Roman" w:cs="Times New Roman"/>
          <w:sz w:val="24"/>
          <w:szCs w:val="24"/>
        </w:rPr>
        <w:t xml:space="preserve"> these predominant oppressive institutions</w:t>
      </w:r>
      <w:proofErr w:type="gramEnd"/>
      <w:r>
        <w:rPr>
          <w:rFonts w:ascii="Times New Roman" w:eastAsia="Times New Roman" w:hAnsi="Times New Roman" w:cs="Times New Roman"/>
          <w:sz w:val="24"/>
          <w:szCs w:val="24"/>
        </w:rPr>
        <w:t>? (Jha, 2017).</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Moreover, questions arose over who </w:t>
      </w:r>
      <w:proofErr w:type="gramStart"/>
      <w:r>
        <w:rPr>
          <w:rFonts w:ascii="Times New Roman" w:eastAsia="Times New Roman" w:hAnsi="Times New Roman" w:cs="Times New Roman"/>
          <w:sz w:val="24"/>
          <w:szCs w:val="24"/>
        </w:rPr>
        <w:t>was truly being targeted</w:t>
      </w:r>
      <w:proofErr w:type="gramEnd"/>
      <w:r>
        <w:rPr>
          <w:rFonts w:ascii="Times New Roman" w:eastAsia="Times New Roman" w:hAnsi="Times New Roman" w:cs="Times New Roman"/>
          <w:sz w:val="24"/>
          <w:szCs w:val="24"/>
        </w:rPr>
        <w:t xml:space="preserve"> by the social justice campaign. Many of the photos depicted unemployed men in the background whilst middle or </w:t>
      </w:r>
      <w:proofErr w:type="gramStart"/>
      <w:r>
        <w:rPr>
          <w:rFonts w:ascii="Times New Roman" w:eastAsia="Times New Roman" w:hAnsi="Times New Roman" w:cs="Times New Roman"/>
          <w:sz w:val="24"/>
          <w:szCs w:val="24"/>
        </w:rPr>
        <w:t>upper-class</w:t>
      </w:r>
      <w:proofErr w:type="gramEnd"/>
      <w:r>
        <w:rPr>
          <w:rFonts w:ascii="Times New Roman" w:eastAsia="Times New Roman" w:hAnsi="Times New Roman" w:cs="Times New Roman"/>
          <w:sz w:val="24"/>
          <w:szCs w:val="24"/>
        </w:rPr>
        <w:t xml:space="preserve"> women posed for their #WhyLoiter pictures. What is the ultimate goal of this campaign? </w:t>
      </w:r>
      <w:proofErr w:type="gramStart"/>
      <w:r>
        <w:rPr>
          <w:rFonts w:ascii="Times New Roman" w:eastAsia="Times New Roman" w:hAnsi="Times New Roman" w:cs="Times New Roman"/>
          <w:sz w:val="24"/>
          <w:szCs w:val="24"/>
        </w:rPr>
        <w:t>Increased police presence ensuring the security of these loitering women?</w:t>
      </w:r>
      <w:proofErr w:type="gramEnd"/>
      <w:r>
        <w:rPr>
          <w:rFonts w:ascii="Times New Roman" w:eastAsia="Times New Roman" w:hAnsi="Times New Roman" w:cs="Times New Roman"/>
          <w:sz w:val="24"/>
          <w:szCs w:val="24"/>
        </w:rPr>
        <w:t xml:space="preserve"> If so, does this not disproportionately target Dalit unemployed men, who will then face increased rates of mass </w:t>
      </w:r>
      <w:proofErr w:type="gramStart"/>
      <w:r>
        <w:rPr>
          <w:rFonts w:ascii="Times New Roman" w:eastAsia="Times New Roman" w:hAnsi="Times New Roman" w:cs="Times New Roman"/>
          <w:sz w:val="24"/>
          <w:szCs w:val="24"/>
        </w:rPr>
        <w:t>incarceration?</w:t>
      </w:r>
      <w:proofErr w:type="gramEnd"/>
      <w:r>
        <w:rPr>
          <w:rFonts w:ascii="Times New Roman" w:eastAsia="Times New Roman" w:hAnsi="Times New Roman" w:cs="Times New Roman"/>
          <w:sz w:val="24"/>
          <w:szCs w:val="24"/>
        </w:rPr>
        <w:t xml:space="preserve"> Does the #WhyLoiter encourage security for all members of the Indian population in public spaces, or just middle to upper-class women at the expense of Dalit men? (Jha, 2018). </w:t>
      </w:r>
    </w:p>
    <w:p w:rsidR="00C30C8B" w:rsidRDefault="001E516C" w:rsidP="001E516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Dey offers further insight into this issue of class representation in feminist digital activism, noting that middle class participation, in particular, accounts for the largest portion of social media activism, despite the increased vulnerability of Dalit women to sexual harassment and assault (2018). These critical viewpoints within the #WhyLoiter movement lead to a push for an intersectional approach to the feminist social media campaign. The founders of the campaign themselves accepted criticism and admitted the need for a more intersectional approach (Jha, 2018). This mainstream acknowledgement of the need to incorporate other marginalized voices into feminist campaigns came as a product of digital activism and the sheer magnitude of visibility given to feminist activism by social media.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Kumbhojkar draws further parallels between feminist and Dalit activism, quoting a journalist who states that “the mere presence of women in online spaces does not constitute emancipation unless they can exercise agency and use those spaces to assert themselves” </w:t>
      </w:r>
      <w:r>
        <w:rPr>
          <w:rFonts w:ascii="Times New Roman" w:eastAsia="Times New Roman" w:hAnsi="Times New Roman" w:cs="Times New Roman"/>
          <w:sz w:val="24"/>
          <w:szCs w:val="24"/>
        </w:rPr>
        <w:lastRenderedPageBreak/>
        <w:t xml:space="preserve">(Kumbhojkar, 2018). In the same way that the #WhyLoiter campaign pushed women to occupy physical public space and assert their right to this space, Dalit activism has had increasingly practical applications, rallying together Dalit youth in particular to re-define their socio-economic standing and social label. Moreover, the acknowledgement of the need for intersectional feminist campaigns hints at further mainstream digital movements incorporating anti-classism and anti-sexism sentiments. </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Case of Mayawati</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centre of this Venn diagram of feminist and Dalit activism, however, is Dalit women on social media. The sexual exploitation of Dalit women has been prevalent for ages. Kumar acknowledges the longstanding relegation of Dalit women to being sexual servants to higher-caste men (2009). This </w:t>
      </w:r>
      <w:proofErr w:type="gramStart"/>
      <w:r>
        <w:rPr>
          <w:rFonts w:ascii="Times New Roman" w:eastAsia="Times New Roman" w:hAnsi="Times New Roman" w:cs="Times New Roman"/>
          <w:sz w:val="24"/>
          <w:szCs w:val="24"/>
        </w:rPr>
        <w:t>is inarguably linked</w:t>
      </w:r>
      <w:proofErr w:type="gramEnd"/>
      <w:r>
        <w:rPr>
          <w:rFonts w:ascii="Times New Roman" w:eastAsia="Times New Roman" w:hAnsi="Times New Roman" w:cs="Times New Roman"/>
          <w:sz w:val="24"/>
          <w:szCs w:val="24"/>
        </w:rPr>
        <w:t xml:space="preserve"> to both their gender and their non-existence within the caste system. The sexual assault of Dalit women is not only a violation of her status as a woman, but it is also a form of political violence about the Dalit population and their socio-economic status in Indian society. Moreover, the uncomfortable reality is that often times, sexual violence against Dalit women often take the form of </w:t>
      </w:r>
      <w:proofErr w:type="gramStart"/>
      <w:r>
        <w:rPr>
          <w:rFonts w:ascii="Times New Roman" w:eastAsia="Times New Roman" w:hAnsi="Times New Roman" w:cs="Times New Roman"/>
          <w:sz w:val="24"/>
          <w:szCs w:val="24"/>
        </w:rPr>
        <w:t>gang-rape</w:t>
      </w:r>
      <w:proofErr w:type="gramEnd"/>
      <w:r>
        <w:rPr>
          <w:rFonts w:ascii="Times New Roman" w:eastAsia="Times New Roman" w:hAnsi="Times New Roman" w:cs="Times New Roman"/>
          <w:sz w:val="24"/>
          <w:szCs w:val="24"/>
        </w:rPr>
        <w:t xml:space="preserve">, often committed by members of a higher caste. The disturbing metaphorical quality of continuous violations of Dalit women committed </w:t>
      </w:r>
      <w:r>
        <w:rPr>
          <w:rFonts w:ascii="Times New Roman" w:eastAsia="Times New Roman" w:hAnsi="Times New Roman" w:cs="Times New Roman"/>
          <w:i/>
          <w:sz w:val="24"/>
          <w:szCs w:val="24"/>
        </w:rPr>
        <w:t>en masse</w:t>
      </w:r>
      <w:r>
        <w:rPr>
          <w:rFonts w:ascii="Times New Roman" w:eastAsia="Times New Roman" w:hAnsi="Times New Roman" w:cs="Times New Roman"/>
          <w:sz w:val="24"/>
          <w:szCs w:val="24"/>
        </w:rPr>
        <w:t xml:space="preserve"> by members of higher quality is representative the larger social norms in Indian society, in which exploitation of Dalit women </w:t>
      </w:r>
      <w:proofErr w:type="gramStart"/>
      <w:r>
        <w:rPr>
          <w:rFonts w:ascii="Times New Roman" w:eastAsia="Times New Roman" w:hAnsi="Times New Roman" w:cs="Times New Roman"/>
          <w:sz w:val="24"/>
          <w:szCs w:val="24"/>
        </w:rPr>
        <w:t>on the basis of</w:t>
      </w:r>
      <w:proofErr w:type="gramEnd"/>
      <w:r>
        <w:rPr>
          <w:rFonts w:ascii="Times New Roman" w:eastAsia="Times New Roman" w:hAnsi="Times New Roman" w:cs="Times New Roman"/>
          <w:sz w:val="24"/>
          <w:szCs w:val="24"/>
        </w:rPr>
        <w:t xml:space="preserve"> both class and gender is normalized.</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the realm of social media, however, many Dalit women are reclaiming their voices. Mayawati, the prevalent Dalit female politician, for example, has become a trailblazing icon for Dalit women. While mainstream Indian media has made countless casteist remarks against her and been silent while her political components make similar casteist remarks, social media has been a platform for her followers to show their admiration for the Indian politician. With the rise of participatory media and social network, media narratives </w:t>
      </w:r>
      <w:proofErr w:type="gramStart"/>
      <w:r>
        <w:rPr>
          <w:rFonts w:ascii="Times New Roman" w:eastAsia="Times New Roman" w:hAnsi="Times New Roman" w:cs="Times New Roman"/>
          <w:sz w:val="24"/>
          <w:szCs w:val="24"/>
        </w:rPr>
        <w:t>are no longer monopolized</w:t>
      </w:r>
      <w:proofErr w:type="gramEnd"/>
      <w:r>
        <w:rPr>
          <w:rFonts w:ascii="Times New Roman" w:eastAsia="Times New Roman" w:hAnsi="Times New Roman" w:cs="Times New Roman"/>
          <w:sz w:val="24"/>
          <w:szCs w:val="24"/>
        </w:rPr>
        <w:t xml:space="preserve"> by large news </w:t>
      </w:r>
      <w:r>
        <w:rPr>
          <w:rFonts w:ascii="Times New Roman" w:eastAsia="Times New Roman" w:hAnsi="Times New Roman" w:cs="Times New Roman"/>
          <w:sz w:val="24"/>
          <w:szCs w:val="24"/>
        </w:rPr>
        <w:lastRenderedPageBreak/>
        <w:t xml:space="preserve">corporations and politically biased journalists, but also by everyday people expressing their viewpoints and insight. Supporters of Mayawati now have platforms to express their admiration for the political actor and </w:t>
      </w:r>
      <w:proofErr w:type="gramStart"/>
      <w:r>
        <w:rPr>
          <w:rFonts w:ascii="Times New Roman" w:eastAsia="Times New Roman" w:hAnsi="Times New Roman" w:cs="Times New Roman"/>
          <w:sz w:val="24"/>
          <w:szCs w:val="24"/>
        </w:rPr>
        <w:t>are given</w:t>
      </w:r>
      <w:proofErr w:type="gramEnd"/>
      <w:r>
        <w:rPr>
          <w:rFonts w:ascii="Times New Roman" w:eastAsia="Times New Roman" w:hAnsi="Times New Roman" w:cs="Times New Roman"/>
          <w:sz w:val="24"/>
          <w:szCs w:val="24"/>
        </w:rPr>
        <w:t xml:space="preserve"> a platform to build community support and empowerment for Dalit women (Kumar, 2009). The waves of social media admiration and rallying of Dalit women in support of Mayawati serves as a foundational example of digital Dalit feminist activists. Mayawati has become an icon for the general Dalit movement, Dalit feminism, and general feminist movements, unifying the social justice causes and furthering Dalit activism’s place in intersectional Indian feminism.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Interestingly enough, Dr. Ambedkar has been enshrined as a Dalit icon on social media similar to Mayawati. In the dawn of the Facebook era, with online versions of his speeches and writings </w:t>
      </w:r>
      <w:proofErr w:type="gramStart"/>
      <w:r>
        <w:rPr>
          <w:rFonts w:ascii="Times New Roman" w:eastAsia="Times New Roman" w:hAnsi="Times New Roman" w:cs="Times New Roman"/>
          <w:sz w:val="24"/>
          <w:szCs w:val="24"/>
        </w:rPr>
        <w:t>being produced</w:t>
      </w:r>
      <w:proofErr w:type="gramEnd"/>
      <w:r>
        <w:rPr>
          <w:rFonts w:ascii="Times New Roman" w:eastAsia="Times New Roman" w:hAnsi="Times New Roman" w:cs="Times New Roman"/>
          <w:sz w:val="24"/>
          <w:szCs w:val="24"/>
        </w:rPr>
        <w:t>, shared, and widely commented on among Dalit activists and supporters of Ambedkar (</w:t>
      </w:r>
      <w:r>
        <w:rPr>
          <w:rFonts w:ascii="Times New Roman" w:eastAsia="Times New Roman" w:hAnsi="Times New Roman" w:cs="Times New Roman"/>
          <w:sz w:val="24"/>
          <w:szCs w:val="24"/>
          <w:highlight w:val="white"/>
        </w:rPr>
        <w:t xml:space="preserve">Kumbhojkar, 2018). The Dalit power figures have become unifying forces for Dalit activism and have helped define what Dalit activism is searching </w:t>
      </w:r>
      <w:proofErr w:type="gramStart"/>
      <w:r>
        <w:rPr>
          <w:rFonts w:ascii="Times New Roman" w:eastAsia="Times New Roman" w:hAnsi="Times New Roman" w:cs="Times New Roman"/>
          <w:sz w:val="24"/>
          <w:szCs w:val="24"/>
          <w:highlight w:val="white"/>
        </w:rPr>
        <w:t>for</w:t>
      </w:r>
      <w:proofErr w:type="gramEnd"/>
      <w:r>
        <w:rPr>
          <w:rFonts w:ascii="Times New Roman" w:eastAsia="Times New Roman" w:hAnsi="Times New Roman" w:cs="Times New Roman"/>
          <w:sz w:val="24"/>
          <w:szCs w:val="24"/>
          <w:highlight w:val="white"/>
        </w:rPr>
        <w:t xml:space="preserve">. Both </w:t>
      </w:r>
      <w:r>
        <w:rPr>
          <w:rFonts w:ascii="Times New Roman" w:eastAsia="Times New Roman" w:hAnsi="Times New Roman" w:cs="Times New Roman"/>
          <w:sz w:val="24"/>
          <w:szCs w:val="24"/>
        </w:rPr>
        <w:t xml:space="preserve">Mayawati </w:t>
      </w:r>
      <w:r>
        <w:rPr>
          <w:rFonts w:ascii="Times New Roman" w:eastAsia="Times New Roman" w:hAnsi="Times New Roman" w:cs="Times New Roman"/>
          <w:sz w:val="24"/>
          <w:szCs w:val="24"/>
          <w:highlight w:val="white"/>
        </w:rPr>
        <w:t>and Ambedkar serve as unifying forces for the Dalit emancipatory movement.</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Moreover, the intersections of Mayawati’s gender and caste identity as a source of the institutional oppression she has faced and increased visibility of Dalit activism and intersectional feminism in the same way that the #WhyLoiter movement begged social media users to consider the role the classism in India has to play in gender inequality and feminist movements.</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rsidR="00C30C8B" w:rsidRDefault="001E516C" w:rsidP="001E516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#WhyLoiter campaign has put feminist social media activism into mainstream media conversations and mobilized social media as a tool for social reform and undermining gender norms. While the campaign has of course faced scrutiny, it also faced exponential levels of engagement and support. This normalization of collective feminist action has marked a shift in power dynamics within Indian media. Not only can feminist campaigns now take over social media </w:t>
      </w:r>
      <w:r>
        <w:rPr>
          <w:rFonts w:ascii="Times New Roman" w:eastAsia="Times New Roman" w:hAnsi="Times New Roman" w:cs="Times New Roman"/>
          <w:sz w:val="24"/>
          <w:szCs w:val="24"/>
        </w:rPr>
        <w:lastRenderedPageBreak/>
        <w:t xml:space="preserve">spheres, if users choose to use a certain hashtag, they also infiltrate mainstream media </w:t>
      </w:r>
      <w:proofErr w:type="gramStart"/>
      <w:r>
        <w:rPr>
          <w:rFonts w:ascii="Times New Roman" w:eastAsia="Times New Roman" w:hAnsi="Times New Roman" w:cs="Times New Roman"/>
          <w:sz w:val="24"/>
          <w:szCs w:val="24"/>
        </w:rPr>
        <w:t>discussions</w:t>
      </w:r>
      <w:proofErr w:type="gramEnd"/>
      <w:r>
        <w:rPr>
          <w:rFonts w:ascii="Times New Roman" w:eastAsia="Times New Roman" w:hAnsi="Times New Roman" w:cs="Times New Roman"/>
          <w:sz w:val="24"/>
          <w:szCs w:val="24"/>
        </w:rPr>
        <w:t xml:space="preserve"> as news corporations are unable to ignore the sweeping collective force that is a widespread feminist social media campaign. This gives powers to users who may hold counter-cultural beliefs, or who may inherently be of a marginalized community – such as Dalit women – as their voice </w:t>
      </w:r>
      <w:proofErr w:type="gramStart"/>
      <w:r>
        <w:rPr>
          <w:rFonts w:ascii="Times New Roman" w:eastAsia="Times New Roman" w:hAnsi="Times New Roman" w:cs="Times New Roman"/>
          <w:sz w:val="24"/>
          <w:szCs w:val="24"/>
        </w:rPr>
        <w:t>is no longer able to</w:t>
      </w:r>
      <w:proofErr w:type="gramEnd"/>
      <w:r>
        <w:rPr>
          <w:rFonts w:ascii="Times New Roman" w:eastAsia="Times New Roman" w:hAnsi="Times New Roman" w:cs="Times New Roman"/>
          <w:sz w:val="24"/>
          <w:szCs w:val="24"/>
        </w:rPr>
        <w:t xml:space="preserve"> be stifled through a monopolized media narrative. </w:t>
      </w:r>
    </w:p>
    <w:p w:rsidR="00C30C8B" w:rsidRDefault="001E516C" w:rsidP="001E516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Mayawati, while being a political figure, has contributed to this shift in power dynamic. Supporters of Mayawati, particularly Dalit women, have shown gratitude and support for the political figure, and have allowed her to garner momentum as a challenge to casteist and sexist norms. This unprecedented attention also infiltrates mainstream media conversations, as newsrooms have to respond to the talking points of the public. As Dalit women are becoming increasingly capable of putting their voices through the megaphone that is Twitter or other popular social media platform, they are constantly rewriting the mainstream media narrative and are no longer able to be ignored </w:t>
      </w:r>
      <w:proofErr w:type="gramStart"/>
      <w:r>
        <w:rPr>
          <w:rFonts w:ascii="Times New Roman" w:eastAsia="Times New Roman" w:hAnsi="Times New Roman" w:cs="Times New Roman"/>
          <w:sz w:val="24"/>
          <w:szCs w:val="24"/>
        </w:rPr>
        <w:t>as a result</w:t>
      </w:r>
      <w:proofErr w:type="gramEnd"/>
      <w:r>
        <w:rPr>
          <w:rFonts w:ascii="Times New Roman" w:eastAsia="Times New Roman" w:hAnsi="Times New Roman" w:cs="Times New Roman"/>
          <w:sz w:val="24"/>
          <w:szCs w:val="24"/>
        </w:rPr>
        <w:t xml:space="preserve"> of selective hearing on the part of higher castes and/or media institutions. </w:t>
      </w:r>
    </w:p>
    <w:p w:rsidR="00C30C8B" w:rsidRDefault="001E516C" w:rsidP="001E516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same way that general feminism searches for equality between the sexes, Dalit emancipation searches for a reclamation of what it means to be a member of the </w:t>
      </w:r>
      <w:r>
        <w:rPr>
          <w:rFonts w:ascii="Times New Roman" w:eastAsia="Times New Roman" w:hAnsi="Times New Roman" w:cs="Times New Roman"/>
          <w:i/>
          <w:sz w:val="24"/>
          <w:szCs w:val="24"/>
        </w:rPr>
        <w:t>Dalit</w:t>
      </w:r>
      <w:r>
        <w:rPr>
          <w:rFonts w:ascii="Times New Roman" w:eastAsia="Times New Roman" w:hAnsi="Times New Roman" w:cs="Times New Roman"/>
          <w:sz w:val="24"/>
          <w:szCs w:val="24"/>
        </w:rPr>
        <w:t xml:space="preserve"> community, rejecting oppressive casteist social limitations in the same way that feminists reject the restrictive patriarchal socio-economic and political barriers placed on women. Social media, in essence, gives users an opportunity to claim the media narrative for their own, and broadcast their own insights. This is a key tool in the social justice activist’s arsenal, allowing </w:t>
      </w:r>
      <w:proofErr w:type="gramStart"/>
      <w:r>
        <w:rPr>
          <w:rFonts w:ascii="Times New Roman" w:eastAsia="Times New Roman" w:hAnsi="Times New Roman" w:cs="Times New Roman"/>
          <w:sz w:val="24"/>
          <w:szCs w:val="24"/>
        </w:rPr>
        <w:t>for one</w:t>
      </w:r>
      <w:proofErr w:type="gramEnd"/>
      <w:r>
        <w:rPr>
          <w:rFonts w:ascii="Times New Roman" w:eastAsia="Times New Roman" w:hAnsi="Times New Roman" w:cs="Times New Roman"/>
          <w:sz w:val="24"/>
          <w:szCs w:val="24"/>
        </w:rPr>
        <w:t xml:space="preserve"> to increase visibility on social injustice, even in the face of social marginalization. As social media access increases, input and involvement of marginalized communities in social justice movements has increased. While in past decades, feminist and social justice crusades may have excluded Dalit communities from participating, we now see Dalit communities themselves rejecting this traditional norm. Feminist </w:t>
      </w:r>
      <w:r>
        <w:rPr>
          <w:rFonts w:ascii="Times New Roman" w:eastAsia="Times New Roman" w:hAnsi="Times New Roman" w:cs="Times New Roman"/>
          <w:sz w:val="24"/>
          <w:szCs w:val="24"/>
        </w:rPr>
        <w:lastRenderedPageBreak/>
        <w:t xml:space="preserve">social media campaigns that leave out this key marginalized voice </w:t>
      </w:r>
      <w:proofErr w:type="gramStart"/>
      <w:r>
        <w:rPr>
          <w:rFonts w:ascii="Times New Roman" w:eastAsia="Times New Roman" w:hAnsi="Times New Roman" w:cs="Times New Roman"/>
          <w:sz w:val="24"/>
          <w:szCs w:val="24"/>
        </w:rPr>
        <w:t>are now no longer being accepted</w:t>
      </w:r>
      <w:proofErr w:type="gramEnd"/>
      <w:r>
        <w:rPr>
          <w:rFonts w:ascii="Times New Roman" w:eastAsia="Times New Roman" w:hAnsi="Times New Roman" w:cs="Times New Roman"/>
          <w:sz w:val="24"/>
          <w:szCs w:val="24"/>
        </w:rPr>
        <w:t xml:space="preserve"> by their audiences but are instead being criticized publicly by Dalit voices themselves. Moreover, media representation and mainstream narratives </w:t>
      </w:r>
      <w:proofErr w:type="gramStart"/>
      <w:r>
        <w:rPr>
          <w:rFonts w:ascii="Times New Roman" w:eastAsia="Times New Roman" w:hAnsi="Times New Roman" w:cs="Times New Roman"/>
          <w:sz w:val="24"/>
          <w:szCs w:val="24"/>
        </w:rPr>
        <w:t>are no longer dictated</w:t>
      </w:r>
      <w:proofErr w:type="gramEnd"/>
      <w:r>
        <w:rPr>
          <w:rFonts w:ascii="Times New Roman" w:eastAsia="Times New Roman" w:hAnsi="Times New Roman" w:cs="Times New Roman"/>
          <w:sz w:val="24"/>
          <w:szCs w:val="24"/>
        </w:rPr>
        <w:t xml:space="preserve"> by large news corporations but are heavily influenced by social media users. Figures such as Dr. Ambedkar and Mayawati have become social media icons for Dalit activism and feminist activism, merging two realms of social media into one larger anti-oppression narrative. They also serve as unifying forces for intersectional feminists searching to re-define oppressive social institutions. Social media has interwoven feminism and Dalit emancipation by giving visibility to the parallels between their two creeds and searches for autonomy and empowerment. The #WhyLoiter campaign, user critiques, and mainstream admission of the need for an intersectional approach shows the newfound voice of Dalit communities in feminist digital activism. Moreover, the places held by feminist and Dalit audiences draw overlapping crowds, unifying social justice communities and solidifying Dalit activism within intersectional feminism. I argue that Mayawati may very well be comparable to the role served by Dr. Ambedkar. While in the past, Dr. Ambedkar garnered support as a unifying force among Dalit communities, Mayawati is now garnering staggering levels of support by playing a similar role. In his time, Dr. Ambedkar was awed as a leader among Dalit communities, being one of the only mainstream Dalit voices. Mayawati now fills the same shoes. I further argue that campaigns such as #WhyLoiter are a result of this increase in representation of Dalit women. </w:t>
      </w:r>
      <w:proofErr w:type="gramStart"/>
      <w:r>
        <w:rPr>
          <w:rFonts w:ascii="Times New Roman" w:eastAsia="Times New Roman" w:hAnsi="Times New Roman" w:cs="Times New Roman"/>
          <w:sz w:val="24"/>
          <w:szCs w:val="24"/>
        </w:rPr>
        <w:t>While in the past, a lack of representation served as a stifling force for Dalit women, who are giving no encouragement to unify or challenge any pre-existing gender/caste norm, an increase of Dalit women in political spheres (i.e. Mayawati), and her subsequent supporters on social media, encourage women and assure them that support is given to those who assert their rights and challenge what the feel is unjust.</w:t>
      </w:r>
      <w:proofErr w:type="gramEnd"/>
      <w:r>
        <w:rPr>
          <w:rFonts w:ascii="Times New Roman" w:eastAsia="Times New Roman" w:hAnsi="Times New Roman" w:cs="Times New Roman"/>
          <w:sz w:val="24"/>
          <w:szCs w:val="24"/>
        </w:rPr>
        <w:t xml:space="preserve"> </w:t>
      </w:r>
    </w:p>
    <w:p w:rsidR="00C30C8B" w:rsidRDefault="001E516C" w:rsidP="001E516C">
      <w:pPr>
        <w:spacing w:line="480" w:lineRule="auto"/>
        <w:ind w:firstLine="720"/>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lastRenderedPageBreak/>
        <w:t>In short, social media has given way to subaltern views of social justice, in which the needs of women and Dalit communities (and Dalit women!), are voiced and mirrored and acknowledged as being necessary to build anti-oppressive social institutions in place of the current oppressive norms. Moreover, social media may very well lead to steep increases in Dalit feminist action, causing rapid changes to gender norms, power dynamics within media, and notions of the role of Dalit women in Indian pop-culture.</w:t>
      </w:r>
    </w:p>
    <w:p w:rsidR="00C30C8B" w:rsidRDefault="001E516C" w:rsidP="001E516C">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Concluding Remarks</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briefly discussed in the literature review, the current research on Dalit feminist digital activism seems relatively limited as of now,however, it appears to be growing as a field of research. This </w:t>
      </w:r>
      <w:proofErr w:type="gramStart"/>
      <w:r>
        <w:rPr>
          <w:rFonts w:ascii="Times New Roman" w:eastAsia="Times New Roman" w:hAnsi="Times New Roman" w:cs="Times New Roman"/>
          <w:sz w:val="24"/>
          <w:szCs w:val="24"/>
        </w:rPr>
        <w:t>being said</w:t>
      </w:r>
      <w:proofErr w:type="gramEnd"/>
      <w:r>
        <w:rPr>
          <w:rFonts w:ascii="Times New Roman" w:eastAsia="Times New Roman" w:hAnsi="Times New Roman" w:cs="Times New Roman"/>
          <w:sz w:val="24"/>
          <w:szCs w:val="24"/>
        </w:rPr>
        <w:t xml:space="preserve">, there was inevitable limitation to this research. As all writings </w:t>
      </w:r>
      <w:proofErr w:type="gramStart"/>
      <w:r>
        <w:rPr>
          <w:rFonts w:ascii="Times New Roman" w:eastAsia="Times New Roman" w:hAnsi="Times New Roman" w:cs="Times New Roman"/>
          <w:sz w:val="24"/>
          <w:szCs w:val="24"/>
        </w:rPr>
        <w:t>were based</w:t>
      </w:r>
      <w:proofErr w:type="gramEnd"/>
      <w:r>
        <w:rPr>
          <w:rFonts w:ascii="Times New Roman" w:eastAsia="Times New Roman" w:hAnsi="Times New Roman" w:cs="Times New Roman"/>
          <w:sz w:val="24"/>
          <w:szCs w:val="24"/>
        </w:rPr>
        <w:t xml:space="preserve"> on pre-existing publications, as opposed to field research, the lack of specific literature on the topic was an impediment to this paper. Moreover, there was an even further lack of writing by Dalit community members themselves, which was another key impediment. </w:t>
      </w:r>
    </w:p>
    <w:p w:rsidR="00C30C8B" w:rsidRDefault="001E516C" w:rsidP="001E516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explained in the analysis of Figure 2, there is a severe lack of quantitative research and date on media representation of Dalit women, to the point where no reliable and/or relatively recent quantitative data </w:t>
      </w:r>
      <w:proofErr w:type="gramStart"/>
      <w:r>
        <w:rPr>
          <w:rFonts w:ascii="Times New Roman" w:eastAsia="Times New Roman" w:hAnsi="Times New Roman" w:cs="Times New Roman"/>
          <w:sz w:val="24"/>
          <w:szCs w:val="24"/>
        </w:rPr>
        <w:t>was found</w:t>
      </w:r>
      <w:proofErr w:type="gramEnd"/>
      <w:r>
        <w:rPr>
          <w:rFonts w:ascii="Times New Roman" w:eastAsia="Times New Roman" w:hAnsi="Times New Roman" w:cs="Times New Roman"/>
          <w:sz w:val="24"/>
          <w:szCs w:val="24"/>
        </w:rPr>
        <w:t xml:space="preserve"> on the subject. This leaves a major gap in research on Dalit communities, particularly through the lens of feminist media theory. A major conclusion drawn is the need for statistical analysis on the role of Dalit women in mainstream media spheres. Not only are figures arguably easier to distribute and digest to a wider public than qualitative research and analysis, they also lay a firm foundation for qualitative research to begin. This gap in the research field thus served as an impediment to this article and </w:t>
      </w:r>
      <w:proofErr w:type="gramStart"/>
      <w:r>
        <w:rPr>
          <w:rFonts w:ascii="Times New Roman" w:eastAsia="Times New Roman" w:hAnsi="Times New Roman" w:cs="Times New Roman"/>
          <w:sz w:val="24"/>
          <w:szCs w:val="24"/>
        </w:rPr>
        <w:t>will also</w:t>
      </w:r>
      <w:proofErr w:type="gramEnd"/>
      <w:r>
        <w:rPr>
          <w:rFonts w:ascii="Times New Roman" w:eastAsia="Times New Roman" w:hAnsi="Times New Roman" w:cs="Times New Roman"/>
          <w:sz w:val="24"/>
          <w:szCs w:val="24"/>
        </w:rPr>
        <w:t xml:space="preserve"> most likely impede future qualitative research on the subject.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General reflection on the research, however, shows a positive outlook on the situation of social justice movements in India, particularly among caste women. As highlighted earlier, the </w:t>
      </w:r>
      <w:r>
        <w:rPr>
          <w:rFonts w:ascii="Times New Roman" w:eastAsia="Times New Roman" w:hAnsi="Times New Roman" w:cs="Times New Roman"/>
          <w:sz w:val="24"/>
          <w:szCs w:val="24"/>
        </w:rPr>
        <w:lastRenderedPageBreak/>
        <w:t xml:space="preserve">rates of violent crimes, particularly of a sexual nature, committed against Dalit women is staggering. The historical isolation, socio-economic disadvantages, and seemingly condoned abuse faced by Dalit women cannot be understated. These norms </w:t>
      </w:r>
      <w:proofErr w:type="gramStart"/>
      <w:r>
        <w:rPr>
          <w:rFonts w:ascii="Times New Roman" w:eastAsia="Times New Roman" w:hAnsi="Times New Roman" w:cs="Times New Roman"/>
          <w:sz w:val="24"/>
          <w:szCs w:val="24"/>
        </w:rPr>
        <w:t>were so engrained</w:t>
      </w:r>
      <w:proofErr w:type="gramEnd"/>
      <w:r>
        <w:rPr>
          <w:rFonts w:ascii="Times New Roman" w:eastAsia="Times New Roman" w:hAnsi="Times New Roman" w:cs="Times New Roman"/>
          <w:sz w:val="24"/>
          <w:szCs w:val="24"/>
        </w:rPr>
        <w:t xml:space="preserve"> that many may argue that it was unreasonable to think that mainstream media narratives and institutions could ever serve as a force for changing these oppressive conditions. Social media, however, has shown an optimistic future for Dalit feminist activism. While it may be unreasonable to expect a media institution controlled by higher castes to shift power towards lower caste women, this is quickly becoming less and less of a concern, as Dalit women are increasingly being able to re-write their own narratives through user-controlled media. </w:t>
      </w:r>
    </w:p>
    <w:p w:rsidR="00C30C8B" w:rsidRDefault="001E516C" w:rsidP="001E51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w:t>
      </w:r>
      <w:proofErr w:type="gramStart"/>
      <w:r>
        <w:rPr>
          <w:rFonts w:ascii="Times New Roman" w:eastAsia="Times New Roman" w:hAnsi="Times New Roman" w:cs="Times New Roman"/>
          <w:sz w:val="24"/>
          <w:szCs w:val="24"/>
        </w:rPr>
        <w:t>being said</w:t>
      </w:r>
      <w:proofErr w:type="gramEnd"/>
      <w:r>
        <w:rPr>
          <w:rFonts w:ascii="Times New Roman" w:eastAsia="Times New Roman" w:hAnsi="Times New Roman" w:cs="Times New Roman"/>
          <w:sz w:val="24"/>
          <w:szCs w:val="24"/>
        </w:rPr>
        <w:t xml:space="preserve">, the places for future quantitative research lie in analyzing the digital divide, i.e. the lack of access to internet in those facing lower socio-economic statuses. Dalit women have become a larger voice in social media sphere, but there seems to be limited data on Dalit women who remain silence due to lack of access to internet or devices with internet-capability. This is a crucial area of research if the cause of Dalit feminist digital activism is to </w:t>
      </w:r>
      <w:proofErr w:type="gramStart"/>
      <w:r>
        <w:rPr>
          <w:rFonts w:ascii="Times New Roman" w:eastAsia="Times New Roman" w:hAnsi="Times New Roman" w:cs="Times New Roman"/>
          <w:sz w:val="24"/>
          <w:szCs w:val="24"/>
        </w:rPr>
        <w:t>be furthered</w:t>
      </w:r>
      <w:proofErr w:type="gramEnd"/>
      <w:r>
        <w:rPr>
          <w:rFonts w:ascii="Times New Roman" w:eastAsia="Times New Roman" w:hAnsi="Times New Roman" w:cs="Times New Roman"/>
          <w:sz w:val="24"/>
          <w:szCs w:val="24"/>
        </w:rPr>
        <w:t>.</w:t>
      </w:r>
    </w:p>
    <w:p w:rsidR="00C30C8B" w:rsidRDefault="00C30C8B" w:rsidP="001E516C">
      <w:pPr>
        <w:spacing w:line="480" w:lineRule="auto"/>
        <w:jc w:val="both"/>
        <w:rPr>
          <w:rFonts w:ascii="Times New Roman" w:eastAsia="Times New Roman" w:hAnsi="Times New Roman" w:cs="Times New Roman"/>
          <w:sz w:val="24"/>
          <w:szCs w:val="24"/>
        </w:rPr>
      </w:pPr>
    </w:p>
    <w:p w:rsidR="00C30C8B" w:rsidRDefault="00C30C8B" w:rsidP="001E516C">
      <w:pPr>
        <w:spacing w:line="480" w:lineRule="auto"/>
        <w:jc w:val="both"/>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Default="00C30C8B">
      <w:pPr>
        <w:spacing w:line="480" w:lineRule="auto"/>
        <w:rPr>
          <w:rFonts w:ascii="Times New Roman" w:eastAsia="Times New Roman" w:hAnsi="Times New Roman" w:cs="Times New Roman"/>
          <w:sz w:val="24"/>
          <w:szCs w:val="24"/>
        </w:rPr>
      </w:pPr>
    </w:p>
    <w:p w:rsidR="00C30C8B" w:rsidRPr="001E516C" w:rsidRDefault="007F459E" w:rsidP="001E516C">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Bibliography</w:t>
      </w:r>
    </w:p>
    <w:p w:rsidR="00C30C8B" w:rsidRDefault="001E516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Bosi, L., &amp; De Fazio, Gianluca, editor. (2017). </w:t>
      </w:r>
      <w:proofErr w:type="gramStart"/>
      <w:r>
        <w:rPr>
          <w:rFonts w:ascii="Times New Roman" w:eastAsia="Times New Roman" w:hAnsi="Times New Roman" w:cs="Times New Roman"/>
          <w:i/>
          <w:sz w:val="24"/>
          <w:szCs w:val="24"/>
          <w:highlight w:val="white"/>
        </w:rPr>
        <w:t>The</w:t>
      </w:r>
      <w:proofErr w:type="gramEnd"/>
      <w:r>
        <w:rPr>
          <w:rFonts w:ascii="Times New Roman" w:eastAsia="Times New Roman" w:hAnsi="Times New Roman" w:cs="Times New Roman"/>
          <w:i/>
          <w:sz w:val="24"/>
          <w:szCs w:val="24"/>
          <w:highlight w:val="white"/>
        </w:rPr>
        <w:t xml:space="preserve"> Troubles in Northern Ireland and Theories of Social Movements</w:t>
      </w:r>
      <w:r>
        <w:rPr>
          <w:rFonts w:ascii="Times New Roman" w:eastAsia="Times New Roman" w:hAnsi="Times New Roman" w:cs="Times New Roman"/>
          <w:sz w:val="24"/>
          <w:szCs w:val="24"/>
          <w:highlight w:val="white"/>
        </w:rPr>
        <w:t> (Protest and Social Movements Ser). Amsterdam: Amsterdam University Press.</w:t>
      </w:r>
    </w:p>
    <w:p w:rsidR="00C30C8B" w:rsidRDefault="00C30C8B">
      <w:pPr>
        <w:spacing w:line="240" w:lineRule="auto"/>
        <w:rPr>
          <w:rFonts w:ascii="Times New Roman" w:eastAsia="Times New Roman" w:hAnsi="Times New Roman" w:cs="Times New Roman"/>
          <w:sz w:val="24"/>
          <w:szCs w:val="24"/>
          <w:highlight w:val="white"/>
        </w:rPr>
      </w:pPr>
    </w:p>
    <w:p w:rsidR="00C30C8B" w:rsidRDefault="001E516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Charsley, S. (1996). `Untouchable': What is in a Name? </w:t>
      </w:r>
      <w:r>
        <w:rPr>
          <w:rFonts w:ascii="Times New Roman" w:eastAsia="Times New Roman" w:hAnsi="Times New Roman" w:cs="Times New Roman"/>
          <w:i/>
          <w:sz w:val="24"/>
          <w:szCs w:val="24"/>
          <w:highlight w:val="white"/>
        </w:rPr>
        <w:t>The Journal of the Royal Anthropological Institute,</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2</w:t>
      </w:r>
      <w:r>
        <w:rPr>
          <w:rFonts w:ascii="Times New Roman" w:eastAsia="Times New Roman" w:hAnsi="Times New Roman" w:cs="Times New Roman"/>
          <w:sz w:val="24"/>
          <w:szCs w:val="24"/>
          <w:highlight w:val="white"/>
        </w:rPr>
        <w:t xml:space="preserve">(1), 1-23. </w:t>
      </w:r>
      <w:proofErr w:type="gramStart"/>
      <w:r>
        <w:rPr>
          <w:rFonts w:ascii="Times New Roman" w:eastAsia="Times New Roman" w:hAnsi="Times New Roman" w:cs="Times New Roman"/>
          <w:sz w:val="24"/>
          <w:szCs w:val="24"/>
          <w:highlight w:val="white"/>
        </w:rPr>
        <w:t>doi:</w:t>
      </w:r>
      <w:proofErr w:type="gramEnd"/>
      <w:r>
        <w:rPr>
          <w:rFonts w:ascii="Times New Roman" w:eastAsia="Times New Roman" w:hAnsi="Times New Roman" w:cs="Times New Roman"/>
          <w:sz w:val="24"/>
          <w:szCs w:val="24"/>
          <w:highlight w:val="white"/>
        </w:rPr>
        <w:t>10.2307/3034630</w:t>
      </w:r>
    </w:p>
    <w:p w:rsidR="00C30C8B" w:rsidRDefault="00C30C8B">
      <w:pPr>
        <w:spacing w:line="240" w:lineRule="auto"/>
        <w:rPr>
          <w:rFonts w:ascii="Times New Roman" w:eastAsia="Times New Roman" w:hAnsi="Times New Roman" w:cs="Times New Roman"/>
          <w:sz w:val="24"/>
          <w:szCs w:val="24"/>
          <w:highlight w:val="white"/>
        </w:rPr>
      </w:pPr>
    </w:p>
    <w:p w:rsidR="00C30C8B" w:rsidRDefault="001E516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 Kruijf, J. G. (2015). The Dalit I Define: Social Media and Individualized Activism in Subaltern Spheres. </w:t>
      </w:r>
      <w:r>
        <w:rPr>
          <w:rFonts w:ascii="Times New Roman" w:eastAsia="Times New Roman" w:hAnsi="Times New Roman" w:cs="Times New Roman"/>
          <w:i/>
          <w:sz w:val="24"/>
          <w:szCs w:val="24"/>
          <w:highlight w:val="white"/>
        </w:rPr>
        <w:t>Pacific Asia Journal of the Association for Information Systems</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7</w:t>
      </w:r>
      <w:r>
        <w:rPr>
          <w:rFonts w:ascii="Times New Roman" w:eastAsia="Times New Roman" w:hAnsi="Times New Roman" w:cs="Times New Roman"/>
          <w:sz w:val="24"/>
          <w:szCs w:val="24"/>
          <w:highlight w:val="white"/>
        </w:rPr>
        <w:t>(4).</w:t>
      </w:r>
    </w:p>
    <w:p w:rsidR="00C30C8B" w:rsidRDefault="00C30C8B">
      <w:pPr>
        <w:spacing w:line="240" w:lineRule="auto"/>
        <w:rPr>
          <w:rFonts w:ascii="Times New Roman" w:eastAsia="Times New Roman" w:hAnsi="Times New Roman" w:cs="Times New Roman"/>
          <w:sz w:val="24"/>
          <w:szCs w:val="24"/>
          <w:highlight w:val="white"/>
        </w:rPr>
      </w:pPr>
    </w:p>
    <w:p w:rsidR="00C30C8B" w:rsidRDefault="001E516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Dey, A. (2018). </w:t>
      </w:r>
      <w:r>
        <w:rPr>
          <w:rFonts w:ascii="Times New Roman" w:eastAsia="Times New Roman" w:hAnsi="Times New Roman" w:cs="Times New Roman"/>
          <w:i/>
          <w:sz w:val="24"/>
          <w:szCs w:val="24"/>
          <w:highlight w:val="white"/>
        </w:rPr>
        <w:t>Nirbhaya, new media and digital gender activism</w:t>
      </w:r>
      <w:r>
        <w:rPr>
          <w:rFonts w:ascii="Times New Roman" w:eastAsia="Times New Roman" w:hAnsi="Times New Roman" w:cs="Times New Roman"/>
          <w:sz w:val="24"/>
          <w:szCs w:val="24"/>
          <w:highlight w:val="white"/>
        </w:rPr>
        <w:t> (Digital activism and society).</w:t>
      </w:r>
    </w:p>
    <w:p w:rsidR="00C30C8B" w:rsidRDefault="00C30C8B">
      <w:pPr>
        <w:spacing w:line="240" w:lineRule="auto"/>
        <w:rPr>
          <w:rFonts w:ascii="Times New Roman" w:eastAsia="Times New Roman" w:hAnsi="Times New Roman" w:cs="Times New Roman"/>
          <w:sz w:val="24"/>
          <w:szCs w:val="24"/>
          <w:highlight w:val="white"/>
        </w:rPr>
      </w:pPr>
    </w:p>
    <w:p w:rsidR="00C30C8B" w:rsidRDefault="001E516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Jha, S., &amp; Kurian, Alka, editor. (2018). </w:t>
      </w:r>
      <w:r>
        <w:rPr>
          <w:rFonts w:ascii="Times New Roman" w:eastAsia="Times New Roman" w:hAnsi="Times New Roman" w:cs="Times New Roman"/>
          <w:i/>
          <w:sz w:val="24"/>
          <w:szCs w:val="24"/>
          <w:highlight w:val="white"/>
        </w:rPr>
        <w:t xml:space="preserve">New Feminisms in South </w:t>
      </w:r>
      <w:proofErr w:type="gramStart"/>
      <w:r>
        <w:rPr>
          <w:rFonts w:ascii="Times New Roman" w:eastAsia="Times New Roman" w:hAnsi="Times New Roman" w:cs="Times New Roman"/>
          <w:i/>
          <w:sz w:val="24"/>
          <w:szCs w:val="24"/>
          <w:highlight w:val="white"/>
        </w:rPr>
        <w:t>Asia :</w:t>
      </w:r>
      <w:proofErr w:type="gramEnd"/>
      <w:r>
        <w:rPr>
          <w:rFonts w:ascii="Times New Roman" w:eastAsia="Times New Roman" w:hAnsi="Times New Roman" w:cs="Times New Roman"/>
          <w:i/>
          <w:sz w:val="24"/>
          <w:szCs w:val="24"/>
          <w:highlight w:val="white"/>
        </w:rPr>
        <w:t xml:space="preserve"> Disrupting the Discourse through Social Media, Film, and Literature</w:t>
      </w:r>
      <w:r>
        <w:rPr>
          <w:rFonts w:ascii="Times New Roman" w:eastAsia="Times New Roman" w:hAnsi="Times New Roman" w:cs="Times New Roman"/>
          <w:sz w:val="24"/>
          <w:szCs w:val="24"/>
          <w:highlight w:val="white"/>
        </w:rPr>
        <w:t> (First ed., Routledge Research in Cultural and Media Studies).</w:t>
      </w:r>
    </w:p>
    <w:p w:rsidR="00C30C8B" w:rsidRDefault="00C30C8B">
      <w:pPr>
        <w:spacing w:line="240" w:lineRule="auto"/>
        <w:rPr>
          <w:rFonts w:ascii="Times New Roman" w:eastAsia="Times New Roman" w:hAnsi="Times New Roman" w:cs="Times New Roman"/>
          <w:sz w:val="24"/>
          <w:szCs w:val="24"/>
          <w:highlight w:val="white"/>
        </w:rPr>
      </w:pPr>
    </w:p>
    <w:p w:rsidR="00C30C8B" w:rsidRDefault="001E516C">
      <w:pPr>
        <w:spacing w:line="240" w:lineRule="auto"/>
        <w:rPr>
          <w:rFonts w:ascii="Times New Roman" w:eastAsia="Times New Roman" w:hAnsi="Times New Roman" w:cs="Times New Roman"/>
          <w:sz w:val="24"/>
          <w:szCs w:val="24"/>
          <w:highlight w:val="white"/>
        </w:rPr>
      </w:pPr>
      <w:r w:rsidRPr="001E516C">
        <w:rPr>
          <w:rFonts w:ascii="Times New Roman" w:eastAsia="Times New Roman" w:hAnsi="Times New Roman" w:cs="Times New Roman"/>
          <w:sz w:val="24"/>
          <w:szCs w:val="24"/>
          <w:highlight w:val="white"/>
          <w:lang w:val="fr-FR"/>
        </w:rPr>
        <w:t xml:space="preserve">Kumar, C. S., &amp; Subramani, R. (2014). </w:t>
      </w:r>
      <w:r>
        <w:rPr>
          <w:rFonts w:ascii="Times New Roman" w:eastAsia="Times New Roman" w:hAnsi="Times New Roman" w:cs="Times New Roman"/>
          <w:sz w:val="24"/>
          <w:szCs w:val="24"/>
          <w:highlight w:val="white"/>
        </w:rPr>
        <w:t>Internet as an alternative media for Dalits in India: Prospects and challenges. </w:t>
      </w:r>
      <w:r>
        <w:rPr>
          <w:rFonts w:ascii="Times New Roman" w:eastAsia="Times New Roman" w:hAnsi="Times New Roman" w:cs="Times New Roman"/>
          <w:i/>
          <w:sz w:val="24"/>
          <w:szCs w:val="24"/>
          <w:highlight w:val="white"/>
        </w:rPr>
        <w:t>IOSR Journal of Humanities and Social Science</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19</w:t>
      </w:r>
      <w:r>
        <w:rPr>
          <w:rFonts w:ascii="Times New Roman" w:eastAsia="Times New Roman" w:hAnsi="Times New Roman" w:cs="Times New Roman"/>
          <w:sz w:val="24"/>
          <w:szCs w:val="24"/>
          <w:highlight w:val="white"/>
        </w:rPr>
        <w:t>(2), 125-129.</w:t>
      </w:r>
    </w:p>
    <w:p w:rsidR="00C30C8B" w:rsidRDefault="00C30C8B">
      <w:pPr>
        <w:spacing w:line="240" w:lineRule="auto"/>
        <w:rPr>
          <w:rFonts w:ascii="Times New Roman" w:eastAsia="Times New Roman" w:hAnsi="Times New Roman" w:cs="Times New Roman"/>
          <w:sz w:val="24"/>
          <w:szCs w:val="24"/>
          <w:highlight w:val="white"/>
        </w:rPr>
      </w:pPr>
    </w:p>
    <w:p w:rsidR="00C30C8B" w:rsidRDefault="001E516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Kumar, R., &amp; Thapa, D. (2015). Social media as a catalyst for civil society movements in India: A study in Dehradun city. </w:t>
      </w:r>
      <w:r>
        <w:rPr>
          <w:rFonts w:ascii="Times New Roman" w:eastAsia="Times New Roman" w:hAnsi="Times New Roman" w:cs="Times New Roman"/>
          <w:i/>
          <w:sz w:val="24"/>
          <w:szCs w:val="24"/>
          <w:highlight w:val="white"/>
        </w:rPr>
        <w:t>New Media &amp; Society,</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17</w:t>
      </w:r>
      <w:r>
        <w:rPr>
          <w:rFonts w:ascii="Times New Roman" w:eastAsia="Times New Roman" w:hAnsi="Times New Roman" w:cs="Times New Roman"/>
          <w:sz w:val="24"/>
          <w:szCs w:val="24"/>
          <w:highlight w:val="white"/>
        </w:rPr>
        <w:t>(8), 1299-1316.</w:t>
      </w:r>
    </w:p>
    <w:p w:rsidR="00C30C8B" w:rsidRDefault="00C30C8B">
      <w:pPr>
        <w:spacing w:line="240" w:lineRule="auto"/>
        <w:rPr>
          <w:rFonts w:ascii="Times New Roman" w:eastAsia="Times New Roman" w:hAnsi="Times New Roman" w:cs="Times New Roman"/>
          <w:sz w:val="24"/>
          <w:szCs w:val="24"/>
          <w:highlight w:val="white"/>
        </w:rPr>
      </w:pPr>
    </w:p>
    <w:p w:rsidR="00C30C8B" w:rsidRDefault="001E516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Kumar, V. (2009). Locating Dalit women in the Indian caste system, media and women's movement. </w:t>
      </w:r>
      <w:r>
        <w:rPr>
          <w:rFonts w:ascii="Times New Roman" w:eastAsia="Times New Roman" w:hAnsi="Times New Roman" w:cs="Times New Roman"/>
          <w:i/>
          <w:sz w:val="24"/>
          <w:szCs w:val="24"/>
          <w:highlight w:val="white"/>
        </w:rPr>
        <w:t>Social Change,</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39</w:t>
      </w:r>
      <w:r>
        <w:rPr>
          <w:rFonts w:ascii="Times New Roman" w:eastAsia="Times New Roman" w:hAnsi="Times New Roman" w:cs="Times New Roman"/>
          <w:sz w:val="24"/>
          <w:szCs w:val="24"/>
          <w:highlight w:val="white"/>
        </w:rPr>
        <w:t>(1), 64-84.</w:t>
      </w:r>
    </w:p>
    <w:p w:rsidR="00C30C8B" w:rsidRDefault="00C30C8B">
      <w:pPr>
        <w:spacing w:line="240" w:lineRule="auto"/>
        <w:rPr>
          <w:rFonts w:ascii="Times New Roman" w:eastAsia="Times New Roman" w:hAnsi="Times New Roman" w:cs="Times New Roman"/>
          <w:sz w:val="24"/>
          <w:szCs w:val="24"/>
          <w:highlight w:val="white"/>
        </w:rPr>
      </w:pPr>
    </w:p>
    <w:p w:rsidR="00C30C8B" w:rsidRDefault="001E516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Kumbhojkar. (2018). DALITS, INTERNET AND EMANCIPATORY POLITICS. </w:t>
      </w:r>
      <w:r>
        <w:rPr>
          <w:rFonts w:ascii="Times New Roman" w:eastAsia="Times New Roman" w:hAnsi="Times New Roman" w:cs="Times New Roman"/>
          <w:i/>
          <w:sz w:val="24"/>
          <w:szCs w:val="24"/>
          <w:highlight w:val="white"/>
        </w:rPr>
        <w:t>Revista Científica Arbitrada De La Fundación MenteClara,</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3</w:t>
      </w:r>
      <w:r>
        <w:rPr>
          <w:rFonts w:ascii="Times New Roman" w:eastAsia="Times New Roman" w:hAnsi="Times New Roman" w:cs="Times New Roman"/>
          <w:sz w:val="24"/>
          <w:szCs w:val="24"/>
          <w:highlight w:val="white"/>
        </w:rPr>
        <w:t>(1), 45-56.</w:t>
      </w:r>
    </w:p>
    <w:p w:rsidR="00C30C8B" w:rsidRDefault="00C30C8B">
      <w:pPr>
        <w:spacing w:line="240" w:lineRule="auto"/>
        <w:rPr>
          <w:rFonts w:ascii="Times New Roman" w:eastAsia="Times New Roman" w:hAnsi="Times New Roman" w:cs="Times New Roman"/>
          <w:sz w:val="24"/>
          <w:szCs w:val="24"/>
          <w:highlight w:val="white"/>
        </w:rPr>
      </w:pPr>
    </w:p>
    <w:p w:rsidR="00C30C8B" w:rsidRDefault="001E516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Steiner, L. (2014). Feminist Media Theory. </w:t>
      </w:r>
      <w:r>
        <w:rPr>
          <w:rFonts w:ascii="Times New Roman" w:eastAsia="Times New Roman" w:hAnsi="Times New Roman" w:cs="Times New Roman"/>
          <w:i/>
          <w:sz w:val="24"/>
          <w:szCs w:val="24"/>
          <w:highlight w:val="white"/>
        </w:rPr>
        <w:t>The Handbook of Media and Mass Communication Theory</w:t>
      </w:r>
      <w:r>
        <w:rPr>
          <w:rFonts w:ascii="Times New Roman" w:eastAsia="Times New Roman" w:hAnsi="Times New Roman" w:cs="Times New Roman"/>
          <w:sz w:val="24"/>
          <w:szCs w:val="24"/>
          <w:highlight w:val="white"/>
        </w:rPr>
        <w:t>, 359-379.</w:t>
      </w:r>
    </w:p>
    <w:p w:rsidR="00C30C8B" w:rsidRDefault="00C30C8B">
      <w:pPr>
        <w:spacing w:line="240" w:lineRule="auto"/>
        <w:rPr>
          <w:rFonts w:ascii="Times New Roman" w:eastAsia="Times New Roman" w:hAnsi="Times New Roman" w:cs="Times New Roman"/>
          <w:sz w:val="24"/>
          <w:szCs w:val="24"/>
          <w:highlight w:val="white"/>
        </w:rPr>
      </w:pPr>
    </w:p>
    <w:p w:rsidR="00C30C8B" w:rsidRDefault="001E516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Still, C. (2014). </w:t>
      </w:r>
      <w:r>
        <w:rPr>
          <w:rFonts w:ascii="Times New Roman" w:eastAsia="Times New Roman" w:hAnsi="Times New Roman" w:cs="Times New Roman"/>
          <w:i/>
          <w:sz w:val="24"/>
          <w:szCs w:val="24"/>
          <w:highlight w:val="white"/>
        </w:rPr>
        <w:t xml:space="preserve">Dalits in Neoliberal </w:t>
      </w:r>
      <w:proofErr w:type="gramStart"/>
      <w:r>
        <w:rPr>
          <w:rFonts w:ascii="Times New Roman" w:eastAsia="Times New Roman" w:hAnsi="Times New Roman" w:cs="Times New Roman"/>
          <w:i/>
          <w:sz w:val="24"/>
          <w:szCs w:val="24"/>
          <w:highlight w:val="white"/>
        </w:rPr>
        <w:t>India :</w:t>
      </w:r>
      <w:proofErr w:type="gramEnd"/>
      <w:r>
        <w:rPr>
          <w:rFonts w:ascii="Times New Roman" w:eastAsia="Times New Roman" w:hAnsi="Times New Roman" w:cs="Times New Roman"/>
          <w:i/>
          <w:sz w:val="24"/>
          <w:szCs w:val="24"/>
          <w:highlight w:val="white"/>
        </w:rPr>
        <w:t xml:space="preserve"> Mobility or marginalisation</w:t>
      </w:r>
      <w:r>
        <w:rPr>
          <w:rFonts w:ascii="Times New Roman" w:eastAsia="Times New Roman" w:hAnsi="Times New Roman" w:cs="Times New Roman"/>
          <w:sz w:val="24"/>
          <w:szCs w:val="24"/>
          <w:highlight w:val="white"/>
        </w:rPr>
        <w:t> (Exploring the political in South Asia).</w:t>
      </w:r>
    </w:p>
    <w:p w:rsidR="00C30C8B" w:rsidRDefault="00C30C8B">
      <w:pPr>
        <w:spacing w:line="240" w:lineRule="auto"/>
        <w:rPr>
          <w:rFonts w:ascii="Times New Roman" w:eastAsia="Times New Roman" w:hAnsi="Times New Roman" w:cs="Times New Roman"/>
          <w:sz w:val="24"/>
          <w:szCs w:val="24"/>
        </w:rPr>
      </w:pPr>
    </w:p>
    <w:p w:rsidR="00C30C8B" w:rsidRDefault="001E516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Waldrop, A. (2004, December). Dalit politics in India and new meaning of caste. In </w:t>
      </w:r>
      <w:r>
        <w:rPr>
          <w:rFonts w:ascii="Times New Roman" w:eastAsia="Times New Roman" w:hAnsi="Times New Roman" w:cs="Times New Roman"/>
          <w:i/>
          <w:sz w:val="24"/>
          <w:szCs w:val="24"/>
          <w:highlight w:val="white"/>
        </w:rPr>
        <w:t>Forum for Development Studies</w:t>
      </w:r>
      <w:r>
        <w:rPr>
          <w:rFonts w:ascii="Times New Roman" w:eastAsia="Times New Roman" w:hAnsi="Times New Roman" w:cs="Times New Roman"/>
          <w:sz w:val="24"/>
          <w:szCs w:val="24"/>
          <w:highlight w:val="white"/>
        </w:rPr>
        <w:t> (Vol. 31, No. 2, pp. 275-305). Taylor &amp; Francis Group.</w:t>
      </w:r>
    </w:p>
    <w:p w:rsidR="00C30C8B" w:rsidRDefault="00C30C8B">
      <w:pPr>
        <w:spacing w:line="480" w:lineRule="auto"/>
        <w:rPr>
          <w:rFonts w:ascii="Times New Roman" w:eastAsia="Times New Roman" w:hAnsi="Times New Roman" w:cs="Times New Roman"/>
          <w:sz w:val="24"/>
          <w:szCs w:val="24"/>
        </w:rPr>
      </w:pPr>
    </w:p>
    <w:p w:rsidR="00C30C8B" w:rsidRDefault="001E516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About the author</w:t>
      </w:r>
      <w:r>
        <w:rPr>
          <w:rFonts w:ascii="Times New Roman" w:eastAsia="Times New Roman" w:hAnsi="Times New Roman" w:cs="Times New Roman"/>
          <w:sz w:val="24"/>
          <w:szCs w:val="24"/>
          <w:highlight w:val="white"/>
        </w:rPr>
        <w:t>:</w:t>
      </w:r>
    </w:p>
    <w:p w:rsidR="00C30C8B" w:rsidRDefault="001E516C">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t>Laura O'Connor is an undergraduate student at the University of Ottawa, pursuing a Joint Honours Degree in Political Science and Communication. Her particular areas of interest are Track Two Diplomacy, conflict resolution, particularly in South Asia, grassroots feminist activism, and reproductive healthcare in humanitarian and conflict zones.</w:t>
      </w:r>
    </w:p>
    <w:p w:rsidR="00C30C8B" w:rsidRDefault="00C30C8B">
      <w:pPr>
        <w:spacing w:line="480" w:lineRule="auto"/>
        <w:rPr>
          <w:rFonts w:ascii="Times New Roman" w:eastAsia="Times New Roman" w:hAnsi="Times New Roman" w:cs="Times New Roman"/>
          <w:sz w:val="24"/>
          <w:szCs w:val="24"/>
        </w:rPr>
      </w:pPr>
    </w:p>
    <w:p w:rsidR="00C30C8B" w:rsidRDefault="001E516C">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The rise of the celebrity politician: an effect of social media? </w:t>
      </w:r>
    </w:p>
    <w:p w:rsidR="00C30C8B" w:rsidRDefault="00C30C8B">
      <w:pPr>
        <w:shd w:val="clear" w:color="auto" w:fill="FFFFFF"/>
        <w:spacing w:line="240" w:lineRule="auto"/>
        <w:rPr>
          <w:rFonts w:ascii="Times New Roman" w:eastAsia="Times New Roman" w:hAnsi="Times New Roman" w:cs="Times New Roman"/>
          <w:b/>
          <w:sz w:val="24"/>
          <w:szCs w:val="24"/>
        </w:rPr>
      </w:pPr>
    </w:p>
    <w:p w:rsidR="00C30C8B" w:rsidRDefault="00C30C8B">
      <w:pPr>
        <w:shd w:val="clear" w:color="auto" w:fill="FFFFFF"/>
        <w:spacing w:line="240" w:lineRule="auto"/>
        <w:rPr>
          <w:rFonts w:ascii="Times New Roman" w:eastAsia="Times New Roman" w:hAnsi="Times New Roman" w:cs="Times New Roman"/>
          <w:b/>
          <w:sz w:val="24"/>
          <w:szCs w:val="24"/>
        </w:rPr>
      </w:pPr>
    </w:p>
    <w:p w:rsidR="00C30C8B" w:rsidRDefault="00C30C8B">
      <w:pPr>
        <w:shd w:val="clear" w:color="auto" w:fill="FFFFFF"/>
        <w:spacing w:line="240" w:lineRule="auto"/>
        <w:rPr>
          <w:rFonts w:ascii="Times New Roman" w:eastAsia="Times New Roman" w:hAnsi="Times New Roman" w:cs="Times New Roman"/>
          <w:b/>
          <w:sz w:val="24"/>
          <w:szCs w:val="24"/>
        </w:rPr>
      </w:pPr>
    </w:p>
    <w:p w:rsidR="00C30C8B" w:rsidRPr="001E516C" w:rsidRDefault="001E516C">
      <w:pPr>
        <w:shd w:val="clear" w:color="auto" w:fill="FFFFFF"/>
        <w:spacing w:line="240" w:lineRule="auto"/>
        <w:rPr>
          <w:rFonts w:ascii="Times New Roman" w:eastAsia="Times New Roman" w:hAnsi="Times New Roman" w:cs="Times New Roman"/>
          <w:b/>
          <w:sz w:val="24"/>
          <w:szCs w:val="24"/>
          <w:lang w:val="fr-FR"/>
        </w:rPr>
      </w:pPr>
      <w:r w:rsidRPr="001E516C">
        <w:rPr>
          <w:rFonts w:ascii="Times New Roman" w:eastAsia="Times New Roman" w:hAnsi="Times New Roman" w:cs="Times New Roman"/>
          <w:b/>
          <w:sz w:val="24"/>
          <w:szCs w:val="24"/>
          <w:lang w:val="fr-FR"/>
        </w:rPr>
        <w:t xml:space="preserve">Cassandre Gratton, Concordia University, Montréal, Québec </w:t>
      </w:r>
    </w:p>
    <w:p w:rsidR="00C30C8B" w:rsidRPr="001E516C" w:rsidRDefault="00C30C8B">
      <w:pPr>
        <w:shd w:val="clear" w:color="auto" w:fill="FFFFFF"/>
        <w:spacing w:line="240" w:lineRule="auto"/>
        <w:rPr>
          <w:rFonts w:ascii="Times New Roman" w:eastAsia="Times New Roman" w:hAnsi="Times New Roman" w:cs="Times New Roman"/>
          <w:b/>
          <w:sz w:val="24"/>
          <w:szCs w:val="24"/>
          <w:lang w:val="fr-FR"/>
        </w:rPr>
      </w:pPr>
    </w:p>
    <w:p w:rsidR="00C30C8B" w:rsidRPr="001E516C" w:rsidRDefault="00C30C8B">
      <w:pPr>
        <w:shd w:val="clear" w:color="auto" w:fill="FFFFFF"/>
        <w:spacing w:line="240" w:lineRule="auto"/>
        <w:rPr>
          <w:rFonts w:ascii="Times New Roman" w:eastAsia="Times New Roman" w:hAnsi="Times New Roman" w:cs="Times New Roman"/>
          <w:b/>
          <w:sz w:val="24"/>
          <w:szCs w:val="24"/>
          <w:lang w:val="fr-FR"/>
        </w:rPr>
      </w:pPr>
    </w:p>
    <w:p w:rsidR="00C30C8B" w:rsidRPr="001E516C" w:rsidRDefault="00C30C8B">
      <w:pPr>
        <w:shd w:val="clear" w:color="auto" w:fill="FFFFFF"/>
        <w:spacing w:line="240" w:lineRule="auto"/>
        <w:rPr>
          <w:rFonts w:ascii="Times New Roman" w:eastAsia="Times New Roman" w:hAnsi="Times New Roman" w:cs="Times New Roman"/>
          <w:b/>
          <w:sz w:val="24"/>
          <w:szCs w:val="24"/>
          <w:lang w:val="fr-FR"/>
        </w:rPr>
      </w:pPr>
    </w:p>
    <w:p w:rsidR="00C30C8B" w:rsidRPr="001E516C" w:rsidRDefault="00C30C8B">
      <w:pPr>
        <w:shd w:val="clear" w:color="auto" w:fill="FFFFFF"/>
        <w:spacing w:line="240" w:lineRule="auto"/>
        <w:jc w:val="center"/>
        <w:rPr>
          <w:rFonts w:ascii="Times New Roman" w:eastAsia="Times New Roman" w:hAnsi="Times New Roman" w:cs="Times New Roman"/>
          <w:b/>
          <w:sz w:val="24"/>
          <w:szCs w:val="24"/>
          <w:lang w:val="fr-FR"/>
        </w:rPr>
      </w:pPr>
    </w:p>
    <w:p w:rsidR="00C30C8B" w:rsidRDefault="001E516C">
      <w:pPr>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C30C8B" w:rsidRDefault="001E516C">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recent political literature, many have raised concerns about a growth in the ‘celebritization of politics’, whereby politicians increasingly borrow from celebrity culture to represent themselves and communicate with their electorate. While many have studied the impact of this trend on politics, relatively few have sought to explain its origins. In this paper, using theories from communication and celebrity studies, I will show some of the ways in which this rise of celebrity culture as a form of political communication was and is aided amplified by the rise of social media within public discourse. Given his vast popularity on social media platforms, I use Canada’s </w:t>
      </w:r>
      <w:proofErr w:type="gramStart"/>
      <w:r>
        <w:rPr>
          <w:rFonts w:ascii="Times New Roman" w:eastAsia="Times New Roman" w:hAnsi="Times New Roman" w:cs="Times New Roman"/>
          <w:sz w:val="24"/>
          <w:szCs w:val="24"/>
        </w:rPr>
        <w:t>prime minister</w:t>
      </w:r>
      <w:proofErr w:type="gramEnd"/>
      <w:r>
        <w:rPr>
          <w:rFonts w:ascii="Times New Roman" w:eastAsia="Times New Roman" w:hAnsi="Times New Roman" w:cs="Times New Roman"/>
          <w:sz w:val="24"/>
          <w:szCs w:val="24"/>
        </w:rPr>
        <w:t xml:space="preserve"> Justin Trudeau as a case study to support my claim. Based on empirical studies done on his social media presence, I will demonstrate that he uses social media to capitalize on recent socio-cultural trends to </w:t>
      </w:r>
      <w:proofErr w:type="gramStart"/>
      <w:r>
        <w:rPr>
          <w:rFonts w:ascii="Times New Roman" w:eastAsia="Times New Roman" w:hAnsi="Times New Roman" w:cs="Times New Roman"/>
          <w:sz w:val="24"/>
          <w:szCs w:val="24"/>
        </w:rPr>
        <w:t>showcase</w:t>
      </w:r>
      <w:proofErr w:type="gramEnd"/>
      <w:r>
        <w:rPr>
          <w:rFonts w:ascii="Times New Roman" w:eastAsia="Times New Roman" w:hAnsi="Times New Roman" w:cs="Times New Roman"/>
          <w:sz w:val="24"/>
          <w:szCs w:val="24"/>
        </w:rPr>
        <w:t xml:space="preserve"> his political work in newly personalized ways. </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C30C8B" w:rsidRPr="00EF2EA7" w:rsidRDefault="00EF2EA7" w:rsidP="00EF2EA7">
      <w:pPr>
        <w:shd w:val="clear" w:color="auto" w:fill="FFFFFF"/>
        <w:spacing w:line="480" w:lineRule="auto"/>
        <w:jc w:val="both"/>
        <w:rPr>
          <w:rFonts w:ascii="Times New Roman" w:eastAsia="Times New Roman" w:hAnsi="Times New Roman" w:cs="Times New Roman"/>
          <w:sz w:val="24"/>
          <w:szCs w:val="24"/>
        </w:rPr>
      </w:pPr>
      <w:r w:rsidRPr="00EF2EA7">
        <w:rPr>
          <w:rFonts w:ascii="Times New Roman" w:eastAsia="Times New Roman" w:hAnsi="Times New Roman" w:cs="Times New Roman"/>
          <w:b/>
          <w:sz w:val="24"/>
          <w:szCs w:val="24"/>
        </w:rPr>
        <w:t>Keywords</w:t>
      </w:r>
      <w:r w:rsidRPr="00EF2EA7">
        <w:rPr>
          <w:rFonts w:ascii="Times New Roman" w:eastAsia="Times New Roman" w:hAnsi="Times New Roman" w:cs="Times New Roman"/>
          <w:sz w:val="24"/>
          <w:szCs w:val="24"/>
        </w:rPr>
        <w:t>: social media, political communication, celebrity politics, Justin Trudeau</w:t>
      </w:r>
    </w:p>
    <w:p w:rsidR="00C30C8B" w:rsidRDefault="00C30C8B">
      <w:pPr>
        <w:shd w:val="clear" w:color="auto" w:fill="FFFFFF"/>
        <w:spacing w:line="480" w:lineRule="auto"/>
        <w:ind w:firstLine="708"/>
        <w:jc w:val="both"/>
        <w:rPr>
          <w:rFonts w:ascii="Times New Roman" w:eastAsia="Times New Roman" w:hAnsi="Times New Roman" w:cs="Times New Roman"/>
          <w:sz w:val="24"/>
          <w:szCs w:val="24"/>
        </w:rPr>
      </w:pPr>
    </w:p>
    <w:p w:rsidR="00C30C8B" w:rsidRDefault="00C30C8B">
      <w:pPr>
        <w:shd w:val="clear" w:color="auto" w:fill="FFFFFF"/>
        <w:spacing w:line="480" w:lineRule="auto"/>
        <w:ind w:firstLine="708"/>
        <w:jc w:val="both"/>
        <w:rPr>
          <w:rFonts w:ascii="Times New Roman" w:eastAsia="Times New Roman" w:hAnsi="Times New Roman" w:cs="Times New Roman"/>
          <w:sz w:val="24"/>
          <w:szCs w:val="24"/>
        </w:rPr>
      </w:pPr>
    </w:p>
    <w:p w:rsidR="00EF2EA7" w:rsidRDefault="00EF2EA7">
      <w:pPr>
        <w:shd w:val="clear" w:color="auto" w:fill="FFFFFF"/>
        <w:spacing w:line="480" w:lineRule="auto"/>
        <w:ind w:firstLine="708"/>
        <w:jc w:val="both"/>
        <w:rPr>
          <w:rFonts w:ascii="Times New Roman" w:eastAsia="Times New Roman" w:hAnsi="Times New Roman" w:cs="Times New Roman"/>
          <w:sz w:val="24"/>
          <w:szCs w:val="24"/>
        </w:rPr>
      </w:pPr>
    </w:p>
    <w:p w:rsidR="00EF2EA7" w:rsidRDefault="00EF2EA7">
      <w:pPr>
        <w:shd w:val="clear" w:color="auto" w:fill="FFFFFF"/>
        <w:spacing w:line="480" w:lineRule="auto"/>
        <w:ind w:firstLine="708"/>
        <w:jc w:val="both"/>
        <w:rPr>
          <w:rFonts w:ascii="Times New Roman" w:eastAsia="Times New Roman" w:hAnsi="Times New Roman" w:cs="Times New Roman"/>
          <w:sz w:val="24"/>
          <w:szCs w:val="24"/>
        </w:rPr>
      </w:pPr>
    </w:p>
    <w:p w:rsidR="00EF2EA7" w:rsidRDefault="00EF2EA7">
      <w:pPr>
        <w:shd w:val="clear" w:color="auto" w:fill="FFFFFF"/>
        <w:spacing w:line="480" w:lineRule="auto"/>
        <w:ind w:firstLine="708"/>
        <w:jc w:val="both"/>
        <w:rPr>
          <w:rFonts w:ascii="Times New Roman" w:eastAsia="Times New Roman" w:hAnsi="Times New Roman" w:cs="Times New Roman"/>
          <w:sz w:val="24"/>
          <w:szCs w:val="24"/>
        </w:rPr>
      </w:pPr>
    </w:p>
    <w:p w:rsidR="00EF2EA7" w:rsidRDefault="00EF2EA7">
      <w:pPr>
        <w:shd w:val="clear" w:color="auto" w:fill="FFFFFF"/>
        <w:spacing w:line="480" w:lineRule="auto"/>
        <w:ind w:firstLine="708"/>
        <w:jc w:val="both"/>
        <w:rPr>
          <w:rFonts w:ascii="Times New Roman" w:eastAsia="Times New Roman" w:hAnsi="Times New Roman" w:cs="Times New Roman"/>
          <w:sz w:val="24"/>
          <w:szCs w:val="24"/>
        </w:rPr>
      </w:pPr>
    </w:p>
    <w:p w:rsidR="00EF2EA7" w:rsidRDefault="00EF2EA7">
      <w:pPr>
        <w:shd w:val="clear" w:color="auto" w:fill="FFFFFF"/>
        <w:spacing w:line="480" w:lineRule="auto"/>
        <w:ind w:firstLine="708"/>
        <w:jc w:val="both"/>
        <w:rPr>
          <w:rFonts w:ascii="Times New Roman" w:eastAsia="Times New Roman" w:hAnsi="Times New Roman" w:cs="Times New Roman"/>
          <w:sz w:val="24"/>
          <w:szCs w:val="24"/>
        </w:rPr>
      </w:pPr>
    </w:p>
    <w:p w:rsidR="00EF2EA7" w:rsidRDefault="00EF2EA7">
      <w:pPr>
        <w:shd w:val="clear" w:color="auto" w:fill="FFFFFF"/>
        <w:spacing w:line="480" w:lineRule="auto"/>
        <w:ind w:firstLine="708"/>
        <w:jc w:val="both"/>
        <w:rPr>
          <w:rFonts w:ascii="Times New Roman" w:eastAsia="Times New Roman" w:hAnsi="Times New Roman" w:cs="Times New Roman"/>
          <w:sz w:val="24"/>
          <w:szCs w:val="24"/>
        </w:rPr>
      </w:pPr>
    </w:p>
    <w:p w:rsidR="00EF2EA7" w:rsidRDefault="00EF2EA7">
      <w:pPr>
        <w:shd w:val="clear" w:color="auto" w:fill="FFFFFF"/>
        <w:spacing w:line="480" w:lineRule="auto"/>
        <w:ind w:firstLine="708"/>
        <w:jc w:val="both"/>
        <w:rPr>
          <w:rFonts w:ascii="Times New Roman" w:eastAsia="Times New Roman" w:hAnsi="Times New Roman" w:cs="Times New Roman"/>
          <w:sz w:val="24"/>
          <w:szCs w:val="24"/>
        </w:rPr>
      </w:pPr>
    </w:p>
    <w:p w:rsidR="00EF2EA7" w:rsidRDefault="00EF2EA7">
      <w:pPr>
        <w:shd w:val="clear" w:color="auto" w:fill="FFFFFF"/>
        <w:spacing w:line="480" w:lineRule="auto"/>
        <w:ind w:firstLine="708"/>
        <w:jc w:val="both"/>
        <w:rPr>
          <w:rFonts w:ascii="Times New Roman" w:eastAsia="Times New Roman" w:hAnsi="Times New Roman" w:cs="Times New Roman"/>
          <w:sz w:val="24"/>
          <w:szCs w:val="24"/>
        </w:rPr>
      </w:pPr>
    </w:p>
    <w:p w:rsidR="00EF2EA7" w:rsidRDefault="00EF2EA7">
      <w:pPr>
        <w:shd w:val="clear" w:color="auto" w:fill="FFFFFF"/>
        <w:spacing w:line="480" w:lineRule="auto"/>
        <w:ind w:firstLine="708"/>
        <w:jc w:val="both"/>
        <w:rPr>
          <w:rFonts w:ascii="Times New Roman" w:eastAsia="Times New Roman" w:hAnsi="Times New Roman" w:cs="Times New Roman"/>
          <w:sz w:val="24"/>
          <w:szCs w:val="24"/>
        </w:rPr>
      </w:pPr>
    </w:p>
    <w:p w:rsidR="002D72FE" w:rsidRDefault="002D72FE">
      <w:pPr>
        <w:shd w:val="clear" w:color="auto" w:fill="FFFFFF"/>
        <w:spacing w:line="480" w:lineRule="auto"/>
        <w:ind w:firstLine="708"/>
        <w:jc w:val="both"/>
        <w:rPr>
          <w:rFonts w:ascii="Times New Roman" w:eastAsia="Times New Roman" w:hAnsi="Times New Roman" w:cs="Times New Roman"/>
          <w:sz w:val="24"/>
          <w:szCs w:val="24"/>
        </w:rPr>
      </w:pPr>
    </w:p>
    <w:p w:rsidR="00EF2EA7" w:rsidRPr="00EF2EA7" w:rsidRDefault="00EF2EA7" w:rsidP="00EF2EA7">
      <w:pPr>
        <w:shd w:val="clear" w:color="auto" w:fill="FFFFFF"/>
        <w:spacing w:line="480" w:lineRule="auto"/>
        <w:jc w:val="center"/>
        <w:rPr>
          <w:rFonts w:ascii="Times New Roman" w:eastAsia="Times New Roman" w:hAnsi="Times New Roman" w:cs="Times New Roman"/>
          <w:b/>
          <w:sz w:val="24"/>
          <w:szCs w:val="24"/>
        </w:rPr>
      </w:pPr>
      <w:r w:rsidRPr="00EF2EA7">
        <w:rPr>
          <w:rFonts w:ascii="Times New Roman" w:eastAsia="Times New Roman" w:hAnsi="Times New Roman" w:cs="Times New Roman"/>
          <w:b/>
          <w:sz w:val="24"/>
          <w:szCs w:val="24"/>
        </w:rPr>
        <w:lastRenderedPageBreak/>
        <w:t>Introduction</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Numerous scholars have identified a rise in “celebrity politics” (Street, 2004; Marsh, Hart &amp; Tindall, 2010; Wheeler, 2013; Lalancette &amp; Raynault, 2017). This umbrella term </w:t>
      </w:r>
      <w:proofErr w:type="gramStart"/>
      <w:r>
        <w:rPr>
          <w:rFonts w:ascii="Times New Roman" w:eastAsia="Times New Roman" w:hAnsi="Times New Roman" w:cs="Times New Roman"/>
          <w:sz w:val="24"/>
          <w:szCs w:val="24"/>
        </w:rPr>
        <w:t>is used</w:t>
      </w:r>
      <w:proofErr w:type="gramEnd"/>
      <w:r>
        <w:rPr>
          <w:rFonts w:ascii="Times New Roman" w:eastAsia="Times New Roman" w:hAnsi="Times New Roman" w:cs="Times New Roman"/>
          <w:sz w:val="24"/>
          <w:szCs w:val="24"/>
        </w:rPr>
        <w:t xml:space="preserve"> within the grey and academic political literature to describe a variety of trends. These can range from phenomenon such as a growing overlap between popular culture and politics (e.g. a politician appearing on a talk show) to an increase of celebrities running for office (e.g. the candidacy and election of Donald Trump). For the purpose of this paper, I will use it to refer to a growing form of political communication where politicians increasingly borrow elements from celebrity culture to communicate with their electorate, which Driessens defines as the “celebritization of politics” (2013). The literature on the phenomenon has largely focused on analyzing its impacts on the forms and qualities of modern politics (Nolan &amp; Brookes, 2013; Wheeler, 2012; Marsha, Hart &amp; Tindall, 2010), and there have been relatively few studies trying to identify its root causes (Street, 2004; Marshall, 2014). While the ones that have have studied the relation between the celebritization of politics and other trends such as the rise of digital culture and a global intensification of celebrity culture, there is still a need for more systemic studies of the phenomenon. My paper contributes to this literature as it seeks to answer the following question: Which socio-cultural trends can help explain the rise of celebrity politics?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Central to my argument is the claim that many of the trends noted by observers of political communication were already prominent in celebrity culture but were in our modern context largely amplified and normalized by the rise of social media. Marshall McLuhan’s theory of ‘the medium is the message’ is especially helpful in supporting this claim (1967). While avoiding completely deterministic claims, he argues that the modes of communication we use have an effect on the nature and content of our communications. While many observers have supported the claim that the very architecture of social media platforms restrains and shapes its users’ behavior (Bossetta, </w:t>
      </w:r>
      <w:r>
        <w:rPr>
          <w:rFonts w:ascii="Times New Roman" w:eastAsia="Times New Roman" w:hAnsi="Times New Roman" w:cs="Times New Roman"/>
          <w:sz w:val="24"/>
          <w:szCs w:val="24"/>
        </w:rPr>
        <w:lastRenderedPageBreak/>
        <w:t xml:space="preserve">2018 as cited in Vossen, 2019) others have described it more broadly as a ‘new communication paradigm’ to illustrate the scale of its ongoing impact (Khosravinik, 2014).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this argument, I argue that celebrity politics are (at least partially) the results of new social and cultural conventions of communication brought forward by social media, through which some elements of celebrity culture are becoming more central to political communication. My goal is not to say that the celebritization of politics is attributable only to social media. Rather, it is to demonstrate how the logics and conventions of these communication platforms are especially favorable or conductive to the spread of celebrity culture as a form of political communication. Although many have attributed the beginnings of celebrity politics to the use of Facebook by Barack Obama during his campaign and his roaring success (Towner et Muñoz, 2017 cited in Vesson, 2019), it is becoming a global phenomenon that goes beyond democratic or parliamentary systems and demands more case studies to be better understood. In order to support my claim, I will use another well-known example of a politician using social media in a way that relies heavily on celebrity culture: Canadian Prime Minister Justin Trudeau. While empirical studies on his social media use have not been numerous, I will use the ones that </w:t>
      </w:r>
      <w:proofErr w:type="gramStart"/>
      <w:r>
        <w:rPr>
          <w:rFonts w:ascii="Times New Roman" w:eastAsia="Times New Roman" w:hAnsi="Times New Roman" w:cs="Times New Roman"/>
          <w:sz w:val="24"/>
          <w:szCs w:val="24"/>
        </w:rPr>
        <w:t>were done</w:t>
      </w:r>
      <w:proofErr w:type="gramEnd"/>
      <w:r>
        <w:rPr>
          <w:rFonts w:ascii="Times New Roman" w:eastAsia="Times New Roman" w:hAnsi="Times New Roman" w:cs="Times New Roman"/>
          <w:sz w:val="24"/>
          <w:szCs w:val="24"/>
        </w:rPr>
        <w:t xml:space="preserve"> on his use of Instagram. This platform combines visual and discursive elements but remains a primarily visual medium. This makes it especially interesting to study to understand new trends in political communication, which are becoming increasingly visual (Vossen, 2019).  The time period covered is one of the most mediatized on social media of his political career, covering his first campaign running for office (Vossen, 2019) and his first year in office as prime minister (Lalancette &amp; Raynauld, 2017). Albeit somewhat limited, this corpus highlights in a systematic and substantive manner the ways in which Trudeau actively borrows from celebrity culture to conduct his politics. It therefore allows me </w:t>
      </w:r>
      <w:proofErr w:type="gramStart"/>
      <w:r>
        <w:rPr>
          <w:rFonts w:ascii="Times New Roman" w:eastAsia="Times New Roman" w:hAnsi="Times New Roman" w:cs="Times New Roman"/>
          <w:sz w:val="24"/>
          <w:szCs w:val="24"/>
        </w:rPr>
        <w:t>to explicitly and concretely show</w:t>
      </w:r>
      <w:proofErr w:type="gramEnd"/>
      <w:r>
        <w:rPr>
          <w:rFonts w:ascii="Times New Roman" w:eastAsia="Times New Roman" w:hAnsi="Times New Roman" w:cs="Times New Roman"/>
          <w:sz w:val="24"/>
          <w:szCs w:val="24"/>
        </w:rPr>
        <w:t xml:space="preserve"> how politics and celebrity culture come to coexist within the social media communication paradigm.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will be demonstrated by an exploration of Trudeau’s social media use through three elements of celebrity </w:t>
      </w:r>
      <w:proofErr w:type="gramStart"/>
      <w:r>
        <w:rPr>
          <w:rFonts w:ascii="Times New Roman" w:eastAsia="Times New Roman" w:hAnsi="Times New Roman" w:cs="Times New Roman"/>
          <w:sz w:val="24"/>
          <w:szCs w:val="24"/>
        </w:rPr>
        <w:t>culture which</w:t>
      </w:r>
      <w:proofErr w:type="gramEnd"/>
      <w:r>
        <w:rPr>
          <w:rFonts w:ascii="Times New Roman" w:eastAsia="Times New Roman" w:hAnsi="Times New Roman" w:cs="Times New Roman"/>
          <w:sz w:val="24"/>
          <w:szCs w:val="24"/>
        </w:rPr>
        <w:t xml:space="preserve"> are especially fitting to the logics of social media and represent growing socio-cultural and political communication trends: personalization, aestheticization and branding. I will explain how they were part of our existing celebrity culture. I will then discuss how the rise of social media has contributed to their continued migration into the world of politics. Finally, I will demonstrate how they can serve political interests by explaining how Trudeau’s use of social media has been capitalizing on them. </w:t>
      </w:r>
    </w:p>
    <w:p w:rsidR="00C30C8B" w:rsidRPr="00EF2EA7" w:rsidRDefault="001E516C">
      <w:pPr>
        <w:shd w:val="clear" w:color="auto" w:fill="FFFFFF"/>
        <w:spacing w:line="480" w:lineRule="auto"/>
        <w:jc w:val="center"/>
        <w:rPr>
          <w:rFonts w:ascii="Times New Roman" w:eastAsia="Times New Roman" w:hAnsi="Times New Roman" w:cs="Times New Roman"/>
          <w:b/>
          <w:sz w:val="24"/>
          <w:szCs w:val="24"/>
        </w:rPr>
      </w:pPr>
      <w:r w:rsidRPr="00EF2EA7">
        <w:rPr>
          <w:rFonts w:ascii="Times New Roman" w:eastAsia="Times New Roman" w:hAnsi="Times New Roman" w:cs="Times New Roman"/>
          <w:b/>
          <w:sz w:val="24"/>
          <w:szCs w:val="24"/>
        </w:rPr>
        <w:t>When politicians get personal</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politics, personalization refers to the process by which an increased importance </w:t>
      </w:r>
      <w:proofErr w:type="gramStart"/>
      <w:r>
        <w:rPr>
          <w:rFonts w:ascii="Times New Roman" w:eastAsia="Times New Roman" w:hAnsi="Times New Roman" w:cs="Times New Roman"/>
          <w:sz w:val="24"/>
          <w:szCs w:val="24"/>
        </w:rPr>
        <w:t>is given</w:t>
      </w:r>
      <w:proofErr w:type="gramEnd"/>
      <w:r>
        <w:rPr>
          <w:rFonts w:ascii="Times New Roman" w:eastAsia="Times New Roman" w:hAnsi="Times New Roman" w:cs="Times New Roman"/>
          <w:sz w:val="24"/>
          <w:szCs w:val="24"/>
        </w:rPr>
        <w:t xml:space="preserve"> to individual politicians at the expense of political groups or institutions (Balmas et al., 2014). This </w:t>
      </w:r>
      <w:proofErr w:type="gramStart"/>
      <w:r>
        <w:rPr>
          <w:rFonts w:ascii="Times New Roman" w:eastAsia="Times New Roman" w:hAnsi="Times New Roman" w:cs="Times New Roman"/>
          <w:sz w:val="24"/>
          <w:szCs w:val="24"/>
        </w:rPr>
        <w:t>is directly related</w:t>
      </w:r>
      <w:proofErr w:type="gramEnd"/>
      <w:r>
        <w:rPr>
          <w:rFonts w:ascii="Times New Roman" w:eastAsia="Times New Roman" w:hAnsi="Times New Roman" w:cs="Times New Roman"/>
          <w:sz w:val="24"/>
          <w:szCs w:val="24"/>
        </w:rPr>
        <w:t xml:space="preserve"> to the idea of celebrity culture, the cult of personality being a central aspect of how celebrities and their audiences interact. Indeed, for Marshall, “celebrity culture articulates a way of thinking about individuality and producing the individual self through the public world” (2010). Thus, we can advance that politicians participate in celebrity culture when they use their public presence to produce their personalities rather than their politics.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why would politicians seek to put their individual selves at the very center of their political strategies? There are numerous advantages for </w:t>
      </w:r>
      <w:proofErr w:type="gramStart"/>
      <w:r>
        <w:rPr>
          <w:rFonts w:ascii="Times New Roman" w:eastAsia="Times New Roman" w:hAnsi="Times New Roman" w:cs="Times New Roman"/>
          <w:sz w:val="24"/>
          <w:szCs w:val="24"/>
        </w:rPr>
        <w:t>a politician to choose to present themselves</w:t>
      </w:r>
      <w:proofErr w:type="gramEnd"/>
      <w:r>
        <w:rPr>
          <w:rFonts w:ascii="Times New Roman" w:eastAsia="Times New Roman" w:hAnsi="Times New Roman" w:cs="Times New Roman"/>
          <w:sz w:val="24"/>
          <w:szCs w:val="24"/>
        </w:rPr>
        <w:t xml:space="preserve"> in this way, and Weber’s theory on the charismatic leader offers an interesting, if incomplete, answer. Weber describes charisma as a certain quality of an individual personality, by virtue of which he is set apart from ordinary men and treated as endowed with special skills (2007). Even when based on seemingly evasive or unexplainable personality traits, charisma can play an important role in conveying authority to someone and lead others to trust them to hold power (Weber, 2007). Although other scholars (Alberoni, 2007) have nuanced the idea of charisma as a stand-alone authoritative factor, it remains an important aspect to consider. Additionally, Wood et </w:t>
      </w:r>
      <w:r>
        <w:rPr>
          <w:rFonts w:ascii="Times New Roman" w:eastAsia="Times New Roman" w:hAnsi="Times New Roman" w:cs="Times New Roman"/>
          <w:sz w:val="24"/>
          <w:szCs w:val="24"/>
        </w:rPr>
        <w:lastRenderedPageBreak/>
        <w:t xml:space="preserve">al. make a distinction between “superstar celebrity politicians” who behave as charismatic leaders and “everyday celebrity politicians” who behave as “flawed” individuals (2016). In this sense, they can use social media “to appear as both ordinary and extraordinary” (Ekman &amp; Widholm, 2014).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Regardless of the reasons that may help explain it, the personalization of politics is nothing new. Numerous politicians were and are renowned for reasons that go beyond their politics. A well-known example is that of John F. Kennedy, who enjoyed a strong reputation and notoriety in popular culture. That which is new, however, is the extent to which social media facilitate and amplify this phenomenon. According to Marshall, “what is constructed via [social media] is a construction of character for a kind of ritual of the performance of the self” (2014). This means that these platforms offer an especially powerful way for politicians and celebrities </w:t>
      </w:r>
      <w:proofErr w:type="gramStart"/>
      <w:r>
        <w:rPr>
          <w:rFonts w:ascii="Times New Roman" w:eastAsia="Times New Roman" w:hAnsi="Times New Roman" w:cs="Times New Roman"/>
          <w:sz w:val="24"/>
          <w:szCs w:val="24"/>
        </w:rPr>
        <w:t>to carefully construct</w:t>
      </w:r>
      <w:proofErr w:type="gramEnd"/>
      <w:r>
        <w:rPr>
          <w:rFonts w:ascii="Times New Roman" w:eastAsia="Times New Roman" w:hAnsi="Times New Roman" w:cs="Times New Roman"/>
          <w:sz w:val="24"/>
          <w:szCs w:val="24"/>
        </w:rPr>
        <w:t xml:space="preserve"> the presentation of their personalities and to emphasize its importance. Ekman &amp; Widholm go even further, arguing that “the social media logic [...] advances personalization and reify political discourses” and that “political communication and the staging of political identities on [social media] are inseparable from both entertainment and celebrity discourses” (2014). In other words, the format of social media facilitates making most interactions by politicians centered on their personalities. This goes back to the idea of social media as a new communication paradigm. According to Khosravinik, their very formats and logics have tended to increasingly collapse and make undistinguishable both public and private communications (2014). Because of this, social media make it much easier for politicians to put at the forefront of their public lives their personal “charismatic” traits.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Justin Trudeau, I suggest </w:t>
      </w:r>
      <w:proofErr w:type="gramStart"/>
      <w:r>
        <w:rPr>
          <w:rFonts w:ascii="Times New Roman" w:eastAsia="Times New Roman" w:hAnsi="Times New Roman" w:cs="Times New Roman"/>
          <w:sz w:val="24"/>
          <w:szCs w:val="24"/>
        </w:rPr>
        <w:t>that it is precisely his “flaws” that became portrayed as the source of his charismatic self, capable of demonstrating traditional leadership qualities</w:t>
      </w:r>
      <w:proofErr w:type="gramEnd"/>
      <w:r>
        <w:rPr>
          <w:rFonts w:ascii="Times New Roman" w:eastAsia="Times New Roman" w:hAnsi="Times New Roman" w:cs="Times New Roman"/>
          <w:sz w:val="24"/>
          <w:szCs w:val="24"/>
        </w:rPr>
        <w:t xml:space="preserve">. A focus on his personality rather than his political platform started relatively early in his political career. </w:t>
      </w:r>
      <w:proofErr w:type="gramStart"/>
      <w:r>
        <w:rPr>
          <w:rFonts w:ascii="Times New Roman" w:eastAsia="Times New Roman" w:hAnsi="Times New Roman" w:cs="Times New Roman"/>
          <w:sz w:val="24"/>
          <w:szCs w:val="24"/>
        </w:rPr>
        <w:t xml:space="preserve">It was notably emphasized in the 2015 federal election campaign by the conservatives, who </w:t>
      </w:r>
      <w:r>
        <w:rPr>
          <w:rFonts w:ascii="Times New Roman" w:eastAsia="Times New Roman" w:hAnsi="Times New Roman" w:cs="Times New Roman"/>
          <w:sz w:val="24"/>
          <w:szCs w:val="24"/>
        </w:rPr>
        <w:lastRenderedPageBreak/>
        <w:t>attacked various aspects of his person such as his youth, his celebrity status and his perceived lack of masculinity in order to discredit him as a valid or capable political candidate (Lalancette &amp; Cormack, 2018)</w:t>
      </w:r>
      <w:proofErr w:type="gramEnd"/>
      <w:r>
        <w:rPr>
          <w:rFonts w:ascii="Times New Roman" w:eastAsia="Times New Roman" w:hAnsi="Times New Roman" w:cs="Times New Roman"/>
          <w:sz w:val="24"/>
          <w:szCs w:val="24"/>
        </w:rPr>
        <w:t xml:space="preserve">. However, instead of shifting the focus away from his personality and emphasizing the strength of his party or platform, Trudeau’s appearances on platforms such as Instagram </w:t>
      </w:r>
      <w:proofErr w:type="gramStart"/>
      <w:r>
        <w:rPr>
          <w:rFonts w:ascii="Times New Roman" w:eastAsia="Times New Roman" w:hAnsi="Times New Roman" w:cs="Times New Roman"/>
          <w:sz w:val="24"/>
          <w:szCs w:val="24"/>
        </w:rPr>
        <w:t>were used</w:t>
      </w:r>
      <w:proofErr w:type="gramEnd"/>
      <w:r>
        <w:rPr>
          <w:rFonts w:ascii="Times New Roman" w:eastAsia="Times New Roman" w:hAnsi="Times New Roman" w:cs="Times New Roman"/>
          <w:sz w:val="24"/>
          <w:szCs w:val="24"/>
        </w:rPr>
        <w:t xml:space="preserve"> to recuperate this narrative and turn it to his advantage. His youth and physical shape became symbols of vitality and change; his “new masculinity” and body, vehicles for progress and social advancement (Lalancette &amp; Cormack, 2018; Vossen, 2019). For example, 94% of his Instagram posts during the 2015 campaign showed him being in movement, emphasing his youth and dynamism (Vossen, 2019)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 beyond the 2015 campaign, the presence of Trudeau on social media often emphasizes aspects of himself such as his dynamism and charisma (Proudfoot, 2018; Vossen, 2019). His regular posting of selfies and the enthusiasm of Canadians, especially youth, to take them with him got him the nickname of “Prime Minister Selfie” (Akin, 2015). Although not technically selfies, about 20% of his posts throughout 2015 pictured him with ordinary citizens and about 17% with children under 12 years old (Lalancette &amp; Raynauld, 2019)</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emphasized were Trudeau’s presence and charm that the response to it on social media and in physical interactions was one of wide enthusiasm, which was dubbed by mainstream news outlets as “Trudeaumania 2.0” (Beaulieu, 2017), in reference to his father for whom an intense adulation had also taken place throughout his political career. Ultimately, Trudeau’s strategy was to capitalize on sociocultural trends whereby public personalities, from actors to politicians, </w:t>
      </w:r>
      <w:proofErr w:type="gramStart"/>
      <w:r>
        <w:rPr>
          <w:rFonts w:ascii="Times New Roman" w:eastAsia="Times New Roman" w:hAnsi="Times New Roman" w:cs="Times New Roman"/>
          <w:sz w:val="24"/>
          <w:szCs w:val="24"/>
        </w:rPr>
        <w:t>are judged</w:t>
      </w:r>
      <w:proofErr w:type="gramEnd"/>
      <w:r>
        <w:rPr>
          <w:rFonts w:ascii="Times New Roman" w:eastAsia="Times New Roman" w:hAnsi="Times New Roman" w:cs="Times New Roman"/>
          <w:sz w:val="24"/>
          <w:szCs w:val="24"/>
        </w:rPr>
        <w:t xml:space="preserve"> on their personal traits rather than on their ideas or actions. There is also something noticeable about how this rhetoric </w:t>
      </w:r>
      <w:proofErr w:type="gramStart"/>
      <w:r>
        <w:rPr>
          <w:rFonts w:ascii="Times New Roman" w:eastAsia="Times New Roman" w:hAnsi="Times New Roman" w:cs="Times New Roman"/>
          <w:sz w:val="24"/>
          <w:szCs w:val="24"/>
        </w:rPr>
        <w:t>was recuperated and amplified by social media and its users</w:t>
      </w:r>
      <w:proofErr w:type="gramEnd"/>
      <w:r>
        <w:rPr>
          <w:rFonts w:ascii="Times New Roman" w:eastAsia="Times New Roman" w:hAnsi="Times New Roman" w:cs="Times New Roman"/>
          <w:sz w:val="24"/>
          <w:szCs w:val="24"/>
        </w:rPr>
        <w:t xml:space="preserve">. Although this focus on his personality has been central to Trudeau’s presence on social media, as </w:t>
      </w:r>
      <w:r>
        <w:rPr>
          <w:rFonts w:ascii="Times New Roman" w:eastAsia="Times New Roman" w:hAnsi="Times New Roman" w:cs="Times New Roman"/>
          <w:sz w:val="24"/>
          <w:szCs w:val="24"/>
        </w:rPr>
        <w:lastRenderedPageBreak/>
        <w:t xml:space="preserve">we will see shortly, it </w:t>
      </w:r>
      <w:proofErr w:type="gramStart"/>
      <w:r>
        <w:rPr>
          <w:rFonts w:ascii="Times New Roman" w:eastAsia="Times New Roman" w:hAnsi="Times New Roman" w:cs="Times New Roman"/>
          <w:sz w:val="24"/>
          <w:szCs w:val="24"/>
        </w:rPr>
        <w:t>has also been strongly aided</w:t>
      </w:r>
      <w:proofErr w:type="gramEnd"/>
      <w:r>
        <w:rPr>
          <w:rFonts w:ascii="Times New Roman" w:eastAsia="Times New Roman" w:hAnsi="Times New Roman" w:cs="Times New Roman"/>
          <w:sz w:val="24"/>
          <w:szCs w:val="24"/>
        </w:rPr>
        <w:t xml:space="preserve"> by his use of images, and by the aesthetics and intimacy logic that social media facilitate.</w:t>
      </w:r>
    </w:p>
    <w:p w:rsidR="00C30C8B" w:rsidRPr="00EF2EA7" w:rsidRDefault="001E516C">
      <w:pPr>
        <w:shd w:val="clear" w:color="auto" w:fill="FFFFFF"/>
        <w:spacing w:line="480" w:lineRule="auto"/>
        <w:jc w:val="center"/>
        <w:rPr>
          <w:rFonts w:ascii="Times New Roman" w:eastAsia="Times New Roman" w:hAnsi="Times New Roman" w:cs="Times New Roman"/>
          <w:b/>
          <w:sz w:val="24"/>
          <w:szCs w:val="24"/>
        </w:rPr>
      </w:pPr>
      <w:r w:rsidRPr="00EF2EA7">
        <w:rPr>
          <w:rFonts w:ascii="Times New Roman" w:eastAsia="Times New Roman" w:hAnsi="Times New Roman" w:cs="Times New Roman"/>
          <w:b/>
          <w:sz w:val="24"/>
          <w:szCs w:val="24"/>
        </w:rPr>
        <w:t>The power of images</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aspect of the personalization of Trudeau’s social </w:t>
      </w:r>
      <w:proofErr w:type="gramStart"/>
      <w:r>
        <w:rPr>
          <w:rFonts w:ascii="Times New Roman" w:eastAsia="Times New Roman" w:hAnsi="Times New Roman" w:cs="Times New Roman"/>
          <w:sz w:val="24"/>
          <w:szCs w:val="24"/>
        </w:rPr>
        <w:t>media which is worth taking a more ample look at</w:t>
      </w:r>
      <w:proofErr w:type="gramEnd"/>
      <w:r>
        <w:rPr>
          <w:rFonts w:ascii="Times New Roman" w:eastAsia="Times New Roman" w:hAnsi="Times New Roman" w:cs="Times New Roman"/>
          <w:sz w:val="24"/>
          <w:szCs w:val="24"/>
        </w:rPr>
        <w:t xml:space="preserve"> is that it is aided by an existing trend toward aestheticization. The concept of “aestheticization of politics” </w:t>
      </w:r>
      <w:proofErr w:type="gramStart"/>
      <w:r>
        <w:rPr>
          <w:rFonts w:ascii="Times New Roman" w:eastAsia="Times New Roman" w:hAnsi="Times New Roman" w:cs="Times New Roman"/>
          <w:sz w:val="24"/>
          <w:szCs w:val="24"/>
        </w:rPr>
        <w:t>was first developed</w:t>
      </w:r>
      <w:proofErr w:type="gramEnd"/>
      <w:r>
        <w:rPr>
          <w:rFonts w:ascii="Times New Roman" w:eastAsia="Times New Roman" w:hAnsi="Times New Roman" w:cs="Times New Roman"/>
          <w:sz w:val="24"/>
          <w:szCs w:val="24"/>
        </w:rPr>
        <w:t xml:space="preserve"> by Walter Benjamin in his 1936 essay “The Work of Art in the Age of Mechanical Reproduction,” in an attempt to partially explain the apparent success and appeal of fascism (Jay, 1992). While aestheticization is now widely recognized as one of the central attributes of fascism, the aestheticization I refer to here is a different one. It refers to a socio-cultural shift whereby the visual quality of cultural objects or actors gains significant importance. In this way, I refer to a context of aestheticization such as described by Rojek, where sensuous perceptions of what is considered “beautiful” to the eye is becoming central to our society’s way of ascribing value to things and people (Rojek, 2001).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also something to </w:t>
      </w:r>
      <w:proofErr w:type="gramStart"/>
      <w:r>
        <w:rPr>
          <w:rFonts w:ascii="Times New Roman" w:eastAsia="Times New Roman" w:hAnsi="Times New Roman" w:cs="Times New Roman"/>
          <w:sz w:val="24"/>
          <w:szCs w:val="24"/>
        </w:rPr>
        <w:t>be said</w:t>
      </w:r>
      <w:proofErr w:type="gramEnd"/>
      <w:r>
        <w:rPr>
          <w:rFonts w:ascii="Times New Roman" w:eastAsia="Times New Roman" w:hAnsi="Times New Roman" w:cs="Times New Roman"/>
          <w:sz w:val="24"/>
          <w:szCs w:val="24"/>
        </w:rPr>
        <w:t xml:space="preserve"> for the ways in which images circulated on social media impact those viewing it, beyond mere aesthetic pleasure. As cited in Gamson et al. (1992), Baudrillard </w:t>
      </w:r>
      <w:proofErr w:type="gramStart"/>
      <w:r>
        <w:rPr>
          <w:rFonts w:ascii="Times New Roman" w:eastAsia="Times New Roman" w:hAnsi="Times New Roman" w:cs="Times New Roman"/>
          <w:sz w:val="24"/>
          <w:szCs w:val="24"/>
        </w:rPr>
        <w:t>argued that</w:t>
      </w:r>
      <w:proofErr w:type="gramEnd"/>
      <w:r>
        <w:rPr>
          <w:rFonts w:ascii="Times New Roman" w:eastAsia="Times New Roman" w:hAnsi="Times New Roman" w:cs="Times New Roman"/>
          <w:sz w:val="24"/>
          <w:szCs w:val="24"/>
        </w:rPr>
        <w:t xml:space="preserve"> “dramatic changes in the technology of reproduction have led to the implosion of representation and reality” (1988). As we come to be constantly </w:t>
      </w:r>
      <w:proofErr w:type="gramStart"/>
      <w:r>
        <w:rPr>
          <w:rFonts w:ascii="Times New Roman" w:eastAsia="Times New Roman" w:hAnsi="Times New Roman" w:cs="Times New Roman"/>
          <w:sz w:val="24"/>
          <w:szCs w:val="24"/>
        </w:rPr>
        <w:t>surrounded</w:t>
      </w:r>
      <w:proofErr w:type="gramEnd"/>
      <w:r>
        <w:rPr>
          <w:rFonts w:ascii="Times New Roman" w:eastAsia="Times New Roman" w:hAnsi="Times New Roman" w:cs="Times New Roman"/>
          <w:sz w:val="24"/>
          <w:szCs w:val="24"/>
        </w:rPr>
        <w:t xml:space="preserve">, even bombarded by visual images, including photographic reproductions of events, the limits to how we come to experience these images in relation to the events that they represent become blurred, and they come to gain a newly significant meaning.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argued by Jameson (1984), “because there is no contextual constraint for the reception of images, the media spectacle is experienced with ‘heightened intensity, bearing a mysterious charge of affect’” (Gamson et al., 1992). In short, applying these theories allows us to partially understand the power that images can hold in conveying meaning and </w:t>
      </w:r>
      <w:proofErr w:type="gramStart"/>
      <w:r>
        <w:rPr>
          <w:rFonts w:ascii="Times New Roman" w:eastAsia="Times New Roman" w:hAnsi="Times New Roman" w:cs="Times New Roman"/>
          <w:sz w:val="24"/>
          <w:szCs w:val="24"/>
        </w:rPr>
        <w:t>impacting</w:t>
      </w:r>
      <w:proofErr w:type="gramEnd"/>
      <w:r>
        <w:rPr>
          <w:rFonts w:ascii="Times New Roman" w:eastAsia="Times New Roman" w:hAnsi="Times New Roman" w:cs="Times New Roman"/>
          <w:sz w:val="24"/>
          <w:szCs w:val="24"/>
        </w:rPr>
        <w:t xml:space="preserve"> their audiences. </w:t>
      </w:r>
      <w:r>
        <w:rPr>
          <w:rFonts w:ascii="Times New Roman" w:eastAsia="Times New Roman" w:hAnsi="Times New Roman" w:cs="Times New Roman"/>
          <w:sz w:val="24"/>
          <w:szCs w:val="24"/>
        </w:rPr>
        <w:lastRenderedPageBreak/>
        <w:t xml:space="preserve">In the age of social media, images are constantly accompanying us, and their content becomes intimate and personal. Not only do social media allow us to bypass traditional forms of media and therefore offer images that seem less mediated to an audience. Images also have an often more powerful effect than words (Lalancette &amp; Raynauld, 2017). This augmented by the large amount and constant proximity of visual content that social media permit.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large impact that images and text can have, when found on social media, </w:t>
      </w:r>
      <w:proofErr w:type="gramStart"/>
      <w:r>
        <w:rPr>
          <w:rFonts w:ascii="Times New Roman" w:eastAsia="Times New Roman" w:hAnsi="Times New Roman" w:cs="Times New Roman"/>
          <w:sz w:val="24"/>
          <w:szCs w:val="24"/>
        </w:rPr>
        <w:t>has been heavily relied upon</w:t>
      </w:r>
      <w:proofErr w:type="gramEnd"/>
      <w:r>
        <w:rPr>
          <w:rFonts w:ascii="Times New Roman" w:eastAsia="Times New Roman" w:hAnsi="Times New Roman" w:cs="Times New Roman"/>
          <w:sz w:val="24"/>
          <w:szCs w:val="24"/>
        </w:rPr>
        <w:t xml:space="preserve"> in celebrity culture as a way for celebrities to convey a sense of connection that is as direct as possible with their audience. Rojek refers to this artificial relationship of intimacy that representation on mass media such as social media allows instead of face-to-face meetings as “para-social interactions” (Rojek, 2007), where the reproductive quality and power of images found on social media contribute to building quasi-relationships between the object and the viewer.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in terms of politicians, we can imagine how they seek to recuperate these existing “para-social infrastructures” and use social media to reach out to their electorate in a way that becomes profoundly personal. Indeed, through their presence on social media, and especially when posting or sharing pictures and photo-ops, “politicians endorse the public desire of celebrities, and these performances narrow the boundaries between the public and the private life of politicians and between the politician and the public” (Ekhman &amp; Widholm, 2014).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Trudeau, he regularly uses such visual communication strategies, being an avid taker and sharer of both selfies and media photo-ops. Relying heavily on visual representation helps to contribute to the construction of his image (both literal and conceptual) as a charismatic leader who naturally possesses leadership qualities. It also helps to create closer “relationships” with his audience than traditional, more explicitly mediated media allow.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Trudeau has social media communication strategy has successfully capitalized on this trend toward aestheticization. The very choice of Instagram as a campaign tool demonstrates the recognition of a primarily visual medium as a powerful platform. Additionally, an emphasis on his looks was also </w:t>
      </w:r>
      <w:proofErr w:type="gramStart"/>
      <w:r>
        <w:rPr>
          <w:rFonts w:ascii="Times New Roman" w:eastAsia="Times New Roman" w:hAnsi="Times New Roman" w:cs="Times New Roman"/>
          <w:sz w:val="24"/>
          <w:szCs w:val="24"/>
        </w:rPr>
        <w:t>very present</w:t>
      </w:r>
      <w:proofErr w:type="gramEnd"/>
      <w:r>
        <w:rPr>
          <w:rFonts w:ascii="Times New Roman" w:eastAsia="Times New Roman" w:hAnsi="Times New Roman" w:cs="Times New Roman"/>
          <w:sz w:val="24"/>
          <w:szCs w:val="24"/>
        </w:rPr>
        <w:t xml:space="preserve"> in his 2015 campaign. While there were not always direct references to it, his body </w:t>
      </w:r>
      <w:proofErr w:type="gramStart"/>
      <w:r>
        <w:rPr>
          <w:rFonts w:ascii="Times New Roman" w:eastAsia="Times New Roman" w:hAnsi="Times New Roman" w:cs="Times New Roman"/>
          <w:sz w:val="24"/>
          <w:szCs w:val="24"/>
        </w:rPr>
        <w:t>was repeatedly used</w:t>
      </w:r>
      <w:proofErr w:type="gramEnd"/>
      <w:r>
        <w:rPr>
          <w:rFonts w:ascii="Times New Roman" w:eastAsia="Times New Roman" w:hAnsi="Times New Roman" w:cs="Times New Roman"/>
          <w:sz w:val="24"/>
          <w:szCs w:val="24"/>
        </w:rPr>
        <w:t xml:space="preserve"> to convey specific meanings about his capacities. Trudeau and his team often used pictures of him moving to emphasize that he represented change, and had a vigorous nature and energy (Vossen, 2019). His physical features </w:t>
      </w:r>
      <w:proofErr w:type="gramStart"/>
      <w:r>
        <w:rPr>
          <w:rFonts w:ascii="Times New Roman" w:eastAsia="Times New Roman" w:hAnsi="Times New Roman" w:cs="Times New Roman"/>
          <w:sz w:val="24"/>
          <w:szCs w:val="24"/>
        </w:rPr>
        <w:t>were thus endowed with significant meaning and served to reaffirm his status as a charismatic leader</w:t>
      </w:r>
      <w:proofErr w:type="gramEnd"/>
      <w:r>
        <w:rPr>
          <w:rFonts w:ascii="Times New Roman" w:eastAsia="Times New Roman" w:hAnsi="Times New Roman" w:cs="Times New Roman"/>
          <w:sz w:val="24"/>
          <w:szCs w:val="24"/>
        </w:rPr>
        <w:t xml:space="preserve">. For example, about 18% of his Instagram posts during the 2015 campaigned emphasized his physical condition (Vossen, 2019).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while there has been relatively </w:t>
      </w:r>
      <w:proofErr w:type="gramStart"/>
      <w:r>
        <w:rPr>
          <w:rFonts w:ascii="Times New Roman" w:eastAsia="Times New Roman" w:hAnsi="Times New Roman" w:cs="Times New Roman"/>
          <w:sz w:val="24"/>
          <w:szCs w:val="24"/>
        </w:rPr>
        <w:t>few qualitative and quantitative study</w:t>
      </w:r>
      <w:proofErr w:type="gramEnd"/>
      <w:r>
        <w:rPr>
          <w:rFonts w:ascii="Times New Roman" w:eastAsia="Times New Roman" w:hAnsi="Times New Roman" w:cs="Times New Roman"/>
          <w:sz w:val="24"/>
          <w:szCs w:val="24"/>
        </w:rPr>
        <w:t xml:space="preserve"> specifically on the visual embodiment of Trudeau’s political message and strategies, one of the recurrent conclusions was that one of the main messages sent by Trudeau and his pictures on social media is one of authenticity (Lalancette &amp; Raynauld, 2017; Vossen, 2019). There are evidently efforts made to ensure the aesthetic quality of the picture he takes and shares, for example with his personal photographer selecting and lightly retouching pictures before they are used (Andrew-Gee, 2016).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Nonetheless, there are also deliberate efforts to take and share pictures that feel “authentic”. This refers to images they appear to have been </w:t>
      </w:r>
      <w:proofErr w:type="gramStart"/>
      <w:r>
        <w:rPr>
          <w:rFonts w:ascii="Times New Roman" w:eastAsia="Times New Roman" w:hAnsi="Times New Roman" w:cs="Times New Roman"/>
          <w:sz w:val="24"/>
          <w:szCs w:val="24"/>
        </w:rPr>
        <w:t>taken</w:t>
      </w:r>
      <w:proofErr w:type="gramEnd"/>
      <w:r>
        <w:rPr>
          <w:rFonts w:ascii="Times New Roman" w:eastAsia="Times New Roman" w:hAnsi="Times New Roman" w:cs="Times New Roman"/>
          <w:sz w:val="24"/>
          <w:szCs w:val="24"/>
        </w:rPr>
        <w:t xml:space="preserve"> candidly, not staged and untouched. It demonstrates the desire to use images in a way that can help create a closer relation and a deeper impact on its viewer due to its unmediated nature. </w:t>
      </w:r>
      <w:proofErr w:type="gramStart"/>
      <w:r>
        <w:rPr>
          <w:rFonts w:ascii="Times New Roman" w:eastAsia="Times New Roman" w:hAnsi="Times New Roman" w:cs="Times New Roman"/>
          <w:sz w:val="24"/>
          <w:szCs w:val="24"/>
        </w:rPr>
        <w:t xml:space="preserve">For example, in images where he is shown taking part in celebratory events of certain cultural communities, a form of post which accounted for about 34% of his posts in 2015, he is shown wearing casual attire instead of his usual formal clothing (Lalancette &amp; Raynauld, 2017), and only 11% of his post during the campaign appear to </w:t>
      </w:r>
      <w:r>
        <w:rPr>
          <w:rFonts w:ascii="Times New Roman" w:eastAsia="Times New Roman" w:hAnsi="Times New Roman" w:cs="Times New Roman"/>
          <w:sz w:val="24"/>
          <w:szCs w:val="24"/>
        </w:rPr>
        <w:lastRenderedPageBreak/>
        <w:t>be posed (Vossen, 2019).</w:t>
      </w:r>
      <w:proofErr w:type="gramEnd"/>
      <w:r>
        <w:rPr>
          <w:rFonts w:ascii="Times New Roman" w:eastAsia="Times New Roman" w:hAnsi="Times New Roman" w:cs="Times New Roman"/>
          <w:sz w:val="24"/>
          <w:szCs w:val="24"/>
        </w:rPr>
        <w:t xml:space="preserve"> What becomes important, then, is not so much the content of the picture but rather the extent to which its viewer </w:t>
      </w:r>
      <w:proofErr w:type="gramStart"/>
      <w:r>
        <w:rPr>
          <w:rFonts w:ascii="Times New Roman" w:eastAsia="Times New Roman" w:hAnsi="Times New Roman" w:cs="Times New Roman"/>
          <w:sz w:val="24"/>
          <w:szCs w:val="24"/>
        </w:rPr>
        <w:t>gets</w:t>
      </w:r>
      <w:proofErr w:type="gramEnd"/>
      <w:r>
        <w:rPr>
          <w:rFonts w:ascii="Times New Roman" w:eastAsia="Times New Roman" w:hAnsi="Times New Roman" w:cs="Times New Roman"/>
          <w:sz w:val="24"/>
          <w:szCs w:val="24"/>
        </w:rPr>
        <w:t xml:space="preserve"> “invited” into the moment it represents. The impact of these images relies on the representational power that images on social media hold and which helps to create intimacy (no matter how artificial), a logic that also reinforces the intense personalization of his platform described earlier.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other words, because communications on social media exist at the intersection between the public and the private sphere (which Stanyer refers to a as a process of intimisation) (2013 as cited by Vossen, 2019), its users feel a specific, more personal relation to the images and message relayed on it. Consequently, a central aspect of Trudeau’s social media use is to create and share content on social media that takes advantage of this. Although Lalancette &amp; Raynauld have concluded that Trudeau did not use his Instagram deliberately to create a form of intimisation of his politics (2017), Vossen on the opposite viewed it as a central strategy of his social media use, especially during his campaign (2019). </w:t>
      </w:r>
    </w:p>
    <w:p w:rsidR="00C30C8B" w:rsidRDefault="001E516C">
      <w:pP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Politics as products</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Highly personalized content and </w:t>
      </w:r>
      <w:proofErr w:type="gramStart"/>
      <w:r>
        <w:rPr>
          <w:rFonts w:ascii="Times New Roman" w:eastAsia="Times New Roman" w:hAnsi="Times New Roman" w:cs="Times New Roman"/>
          <w:sz w:val="24"/>
          <w:szCs w:val="24"/>
        </w:rPr>
        <w:t>highly visual</w:t>
      </w:r>
      <w:proofErr w:type="gramEnd"/>
      <w:r>
        <w:rPr>
          <w:rFonts w:ascii="Times New Roman" w:eastAsia="Times New Roman" w:hAnsi="Times New Roman" w:cs="Times New Roman"/>
          <w:sz w:val="24"/>
          <w:szCs w:val="24"/>
        </w:rPr>
        <w:t xml:space="preserve"> content are two markers of contemporary celebrity culture which have been brought forward by the logics of social media. Although it is vital to understand the effects and implications of these strategies, one must also recognize another social media convention of celebrity culture that has come to define political communication: branding.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a brand is “an evoked image that resonates on an emotional level and which stimulates customer loyalty,” branding refers to the marketing and sales techniques used to build  </w:t>
      </w:r>
    </w:p>
    <w:p w:rsidR="00C30C8B" w:rsidRDefault="001E516C">
      <w:pPr>
        <w:shd w:val="clear" w:color="auto" w:fill="FFFFFF"/>
        <w:spacing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brand either around products, services, or people, so as to “add value to [it] so that a consumer develops an emotional preference for that choice over the alternatives” (Marland, 2013). This idea of branding is intimately linked to celebrity culture and exploring this relationship between the </w:t>
      </w:r>
      <w:r>
        <w:rPr>
          <w:rFonts w:ascii="Times New Roman" w:eastAsia="Times New Roman" w:hAnsi="Times New Roman" w:cs="Times New Roman"/>
          <w:sz w:val="24"/>
          <w:szCs w:val="24"/>
        </w:rPr>
        <w:lastRenderedPageBreak/>
        <w:t xml:space="preserve">two helps us not only to better understand the context and intended functions of the various forms of communication present on social media, as well as their effects and implications. Within the context of celebrity culture, as explored by Turner, celebrities </w:t>
      </w:r>
      <w:proofErr w:type="gramStart"/>
      <w:r>
        <w:rPr>
          <w:rFonts w:ascii="Times New Roman" w:eastAsia="Times New Roman" w:hAnsi="Times New Roman" w:cs="Times New Roman"/>
          <w:sz w:val="24"/>
          <w:szCs w:val="24"/>
        </w:rPr>
        <w:t>are made</w:t>
      </w:r>
      <w:proofErr w:type="gramEnd"/>
      <w:r>
        <w:rPr>
          <w:rFonts w:ascii="Times New Roman" w:eastAsia="Times New Roman" w:hAnsi="Times New Roman" w:cs="Times New Roman"/>
          <w:sz w:val="24"/>
          <w:szCs w:val="24"/>
        </w:rPr>
        <w:t xml:space="preserve"> in order to sell products (2007). As their recognition and fame spread, the emotional connection between them and their “consumers” grow, so does their capacity to secure high profitability.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we look at branding as an efficient way to market or sell goods or services, we can understand how </w:t>
      </w:r>
      <w:proofErr w:type="gramStart"/>
      <w:r>
        <w:rPr>
          <w:rFonts w:ascii="Times New Roman" w:eastAsia="Times New Roman" w:hAnsi="Times New Roman" w:cs="Times New Roman"/>
          <w:sz w:val="24"/>
          <w:szCs w:val="24"/>
        </w:rPr>
        <w:t>similar techniques may be used by celebrities who seek to market themselves, either to sell their services or to help sell the cultural products they are a part of</w:t>
      </w:r>
      <w:proofErr w:type="gramEnd"/>
      <w:r>
        <w:rPr>
          <w:rFonts w:ascii="Times New Roman" w:eastAsia="Times New Roman" w:hAnsi="Times New Roman" w:cs="Times New Roman"/>
          <w:sz w:val="24"/>
          <w:szCs w:val="24"/>
        </w:rPr>
        <w:t xml:space="preserve">. Although the marketing techniques evidently cannot be </w:t>
      </w:r>
      <w:proofErr w:type="gramStart"/>
      <w:r>
        <w:rPr>
          <w:rFonts w:ascii="Times New Roman" w:eastAsia="Times New Roman" w:hAnsi="Times New Roman" w:cs="Times New Roman"/>
          <w:sz w:val="24"/>
          <w:szCs w:val="24"/>
        </w:rPr>
        <w:t>exactly the</w:t>
      </w:r>
      <w:proofErr w:type="gramEnd"/>
      <w:r>
        <w:rPr>
          <w:rFonts w:ascii="Times New Roman" w:eastAsia="Times New Roman" w:hAnsi="Times New Roman" w:cs="Times New Roman"/>
          <w:sz w:val="24"/>
          <w:szCs w:val="24"/>
        </w:rPr>
        <w:t xml:space="preserve"> same, given that people are not static in the way goods or services are, the general idea remains the same: associate the celebrity to certain ideals or values so as to create emotional responses and attachments that will lead to the desired consumption patterns.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goes beyond the techniques of putting a celebrity’s personal or physical traits at the forefront of what they communicate to their audience through content and discourses, or of blurring the distinction between the public and the private to build “para-social” relationships. It requires ensuring that a celebrity gets associated with specific values or ideals susceptible of creating desirability or admiration on a strong emotional level. Celebrities as individuals </w:t>
      </w:r>
      <w:proofErr w:type="gramStart"/>
      <w:r>
        <w:rPr>
          <w:rFonts w:ascii="Times New Roman" w:eastAsia="Times New Roman" w:hAnsi="Times New Roman" w:cs="Times New Roman"/>
          <w:sz w:val="24"/>
          <w:szCs w:val="24"/>
        </w:rPr>
        <w:t>are traversed and transformed by the brand that comes to be associated with their image or presentation, be it one of success, youth, talent, greatness, etc</w:t>
      </w:r>
      <w:proofErr w:type="gramEnd"/>
      <w:r>
        <w:rPr>
          <w:rFonts w:ascii="Times New Roman" w:eastAsia="Times New Roman" w:hAnsi="Times New Roman" w:cs="Times New Roman"/>
          <w:sz w:val="24"/>
          <w:szCs w:val="24"/>
        </w:rPr>
        <w:t xml:space="preserve">. This is now truer than ever, as “the marketing of, and the markets for, celebrities have increased dramatically over the last few decades” (Turner, 2007), an effect amplified in our contemporary context as a repercussion of social media (Diressens, 2013). </w:t>
      </w:r>
    </w:p>
    <w:p w:rsidR="00C30C8B" w:rsidRDefault="001E516C">
      <w:pPr>
        <w:shd w:val="clear" w:color="auto" w:fill="FFFFFF"/>
        <w:spacing w:line="480" w:lineRule="auto"/>
        <w:ind w:firstLine="708"/>
        <w:jc w:val="both"/>
        <w:rPr>
          <w:rFonts w:ascii="Times New Roman" w:eastAsia="Times New Roman" w:hAnsi="Times New Roman" w:cs="Times New Roman"/>
          <w:color w:val="00B0F0"/>
          <w:sz w:val="24"/>
          <w:szCs w:val="24"/>
        </w:rPr>
      </w:pPr>
      <w:r>
        <w:rPr>
          <w:rFonts w:ascii="Times New Roman" w:eastAsia="Times New Roman" w:hAnsi="Times New Roman" w:cs="Times New Roman"/>
          <w:sz w:val="24"/>
          <w:szCs w:val="24"/>
        </w:rPr>
        <w:t xml:space="preserve">Indeed, the conventions and codes of social media allow for the marketing and branding of celebrities on a new level. Because of the highly “intimate” relations that celebrities come to have </w:t>
      </w:r>
      <w:r>
        <w:rPr>
          <w:rFonts w:ascii="Times New Roman" w:eastAsia="Times New Roman" w:hAnsi="Times New Roman" w:cs="Times New Roman"/>
          <w:sz w:val="24"/>
          <w:szCs w:val="24"/>
        </w:rPr>
        <w:lastRenderedPageBreak/>
        <w:t xml:space="preserve">with their audiences through social media platforms, where viewers and audiences have constant access to their favourite celebrities and where, in a way, their favourite celebrities accompany them everywhere, strong emotional relationships are more easily and more likely to be built. No matter how constructed it may be, an emotional appeal is far easier to obtain on social media, because of the feeling of “authenticity” that social media and the seemingly unmediated nature of its content offer.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It seems that social media only extended conventions of emotional appeal that already existed in celebrity culture because celebrities have had to brand and sell themselves since the beginnings of modern celebrity culture.</w:t>
      </w:r>
      <w:proofErr w:type="gramEnd"/>
      <w:r>
        <w:rPr>
          <w:rFonts w:ascii="Times New Roman" w:eastAsia="Times New Roman" w:hAnsi="Times New Roman" w:cs="Times New Roman"/>
          <w:sz w:val="24"/>
          <w:szCs w:val="24"/>
        </w:rPr>
        <w:t xml:space="preserve"> What is rather newer and more noticeable now is the extent to which </w:t>
      </w:r>
      <w:proofErr w:type="gramStart"/>
      <w:r>
        <w:rPr>
          <w:rFonts w:ascii="Times New Roman" w:eastAsia="Times New Roman" w:hAnsi="Times New Roman" w:cs="Times New Roman"/>
          <w:sz w:val="24"/>
          <w:szCs w:val="24"/>
        </w:rPr>
        <w:t>these strategies or conventions are being recuperated by politicians</w:t>
      </w:r>
      <w:proofErr w:type="gramEnd"/>
      <w:r>
        <w:rPr>
          <w:rFonts w:ascii="Times New Roman" w:eastAsia="Times New Roman" w:hAnsi="Times New Roman" w:cs="Times New Roman"/>
          <w:sz w:val="24"/>
          <w:szCs w:val="24"/>
        </w:rPr>
        <w:t xml:space="preserve">, a transfer also largely driven by the rise of social media. For Street, this transfer </w:t>
      </w:r>
      <w:proofErr w:type="gramStart"/>
      <w:r>
        <w:rPr>
          <w:rFonts w:ascii="Times New Roman" w:eastAsia="Times New Roman" w:hAnsi="Times New Roman" w:cs="Times New Roman"/>
          <w:sz w:val="24"/>
          <w:szCs w:val="24"/>
        </w:rPr>
        <w:t>is partially caused</w:t>
      </w:r>
      <w:proofErr w:type="gramEnd"/>
      <w:r>
        <w:rPr>
          <w:rFonts w:ascii="Times New Roman" w:eastAsia="Times New Roman" w:hAnsi="Times New Roman" w:cs="Times New Roman"/>
          <w:sz w:val="24"/>
          <w:szCs w:val="24"/>
        </w:rPr>
        <w:t xml:space="preserve"> by “mass media whose generic conventions favour this form of politic” (2004). For him, “the new styles of political communication are logical extensions of this reality. The advertisement (and the conventions of advertising) come to define political communication. Politicians become </w:t>
      </w:r>
      <w:proofErr w:type="gramStart"/>
      <w:r>
        <w:rPr>
          <w:rFonts w:ascii="Times New Roman" w:eastAsia="Times New Roman" w:hAnsi="Times New Roman" w:cs="Times New Roman"/>
          <w:sz w:val="24"/>
          <w:szCs w:val="24"/>
        </w:rPr>
        <w:t>stars,</w:t>
      </w:r>
      <w:proofErr w:type="gramEnd"/>
      <w:r>
        <w:rPr>
          <w:rFonts w:ascii="Times New Roman" w:eastAsia="Times New Roman" w:hAnsi="Times New Roman" w:cs="Times New Roman"/>
          <w:sz w:val="24"/>
          <w:szCs w:val="24"/>
        </w:rPr>
        <w:t xml:space="preserve"> politics becomes a series of spectacles and the citizens become spectators” (Street, 2004). It would be perhaps rather cynical to draw too close a comparison between the branding of politicians and the branding of celebrities, whereby politicians are merely “selling” political platforms that will need to be “bought” by votes. Nonetheless, we can understand how politicians may come to adapt the habitual rhetoric of politics, seeking to convince an electorate of the value and worth of their ideas through discourse, to a more visual form of rhetoric, better adapted to the format of social media.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political branding itself has been the subject of insufficient scholarly interest to fully understand the extent and reach of the phenomenon (Marland, 2013), Justin Trudeau’s use of social media gives us a glimpse of how politicians may borrow from celebrity culture to create an emotional appeal to their political message. In his case, through his use of social media, the core </w:t>
      </w:r>
      <w:r>
        <w:rPr>
          <w:rFonts w:ascii="Times New Roman" w:eastAsia="Times New Roman" w:hAnsi="Times New Roman" w:cs="Times New Roman"/>
          <w:sz w:val="24"/>
          <w:szCs w:val="24"/>
        </w:rPr>
        <w:lastRenderedPageBreak/>
        <w:t xml:space="preserve">brand of the Liberal Party of Canada precisely became Justin Trudeau’s personal brand (Lalancette &amp; Raynauld, 2019).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according to Lalancette and Raynauld, and contrary to what we may be tempted to believe, Trudeau’s use of Instagram is not mostly used to reveal aspects of his personal life (2017). Rather, it seeks to associate aspects of his personality with core liberal values (2017). The emphasis on his personality traits and his physical appearance allowed </w:t>
      </w:r>
      <w:proofErr w:type="gramStart"/>
      <w:r>
        <w:rPr>
          <w:rFonts w:ascii="Times New Roman" w:eastAsia="Times New Roman" w:hAnsi="Times New Roman" w:cs="Times New Roman"/>
          <w:sz w:val="24"/>
          <w:szCs w:val="24"/>
        </w:rPr>
        <w:t>to link</w:t>
      </w:r>
      <w:proofErr w:type="gramEnd"/>
      <w:r>
        <w:rPr>
          <w:rFonts w:ascii="Times New Roman" w:eastAsia="Times New Roman" w:hAnsi="Times New Roman" w:cs="Times New Roman"/>
          <w:sz w:val="24"/>
          <w:szCs w:val="24"/>
        </w:rPr>
        <w:t xml:space="preserve"> him to broader values held dear by most Canadians and presented as central to the Liberal’s political platform such as progress, success and greatness (2017). This is not only about showing Trudeau as a charismatic leader and the embodiment of specific, desirable qualities, but also, indirectly, that his politics—regardless of their specificities—would be imbued and driven by such values and qualities. Even though the emphasis is on him, voting for him means voting for what he </w:t>
      </w:r>
      <w:r>
        <w:rPr>
          <w:rFonts w:ascii="Times New Roman" w:eastAsia="Times New Roman" w:hAnsi="Times New Roman" w:cs="Times New Roman"/>
          <w:i/>
          <w:sz w:val="24"/>
          <w:szCs w:val="24"/>
        </w:rPr>
        <w:t xml:space="preserve">represents, </w:t>
      </w:r>
      <w:r>
        <w:rPr>
          <w:rFonts w:ascii="Times New Roman" w:eastAsia="Times New Roman" w:hAnsi="Times New Roman" w:cs="Times New Roman"/>
          <w:sz w:val="24"/>
          <w:szCs w:val="24"/>
        </w:rPr>
        <w:t xml:space="preserve">and this may be more or less convincing depending on the emotional value these principles hold for us. In sum, Trudeau’s long-standing personal brand, “which is anchored in his youth, athleticism, open-mindedness, interpersonal skills, and support of feminist causes” (Marland, 2013) is strongly supported by his use of social media and recuperation of existing codes and strategies facilitating the construction of such a brand. </w:t>
      </w:r>
      <w:proofErr w:type="gramStart"/>
      <w:r>
        <w:rPr>
          <w:rFonts w:ascii="Times New Roman" w:eastAsia="Times New Roman" w:hAnsi="Times New Roman" w:cs="Times New Roman"/>
          <w:sz w:val="24"/>
          <w:szCs w:val="24"/>
        </w:rPr>
        <w:t>With 46% during the campaign and 56% after the campaign of his posts serving to showcase his work as a politician, we understand that by and large his use of social media and is used primarily to reinforce his credibility as a serious leader, using the channels of social media to highlight his commitment to issues such as multiculturalism and national unity (Vossen, 2019).</w:t>
      </w:r>
      <w:proofErr w:type="gramEnd"/>
    </w:p>
    <w:p w:rsidR="00C30C8B" w:rsidRDefault="001E516C">
      <w:pPr>
        <w:shd w:val="clear" w:color="auto" w:fill="FFFFFF"/>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Celebrity politicians: A useful political </w:t>
      </w:r>
      <w:proofErr w:type="gramStart"/>
      <w:r>
        <w:rPr>
          <w:rFonts w:ascii="Times New Roman" w:eastAsia="Times New Roman" w:hAnsi="Times New Roman" w:cs="Times New Roman"/>
          <w:b/>
          <w:i/>
          <w:sz w:val="24"/>
          <w:szCs w:val="24"/>
        </w:rPr>
        <w:t>tool ?</w:t>
      </w:r>
      <w:proofErr w:type="gramEnd"/>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beginning of this </w:t>
      </w:r>
      <w:proofErr w:type="gramStart"/>
      <w:r>
        <w:rPr>
          <w:rFonts w:ascii="Times New Roman" w:eastAsia="Times New Roman" w:hAnsi="Times New Roman" w:cs="Times New Roman"/>
          <w:sz w:val="24"/>
          <w:szCs w:val="24"/>
        </w:rPr>
        <w:t>essay</w:t>
      </w:r>
      <w:proofErr w:type="gramEnd"/>
      <w:r>
        <w:rPr>
          <w:rFonts w:ascii="Times New Roman" w:eastAsia="Times New Roman" w:hAnsi="Times New Roman" w:cs="Times New Roman"/>
          <w:sz w:val="24"/>
          <w:szCs w:val="24"/>
        </w:rPr>
        <w:t xml:space="preserve"> I posited that politicians use celebrity culture codes or strategies to adapt contemporary politics to already changing modes of public discourses, largely shaped by the rise of social media. The main takeaway from this paper is that the trends that explain </w:t>
      </w:r>
      <w:r>
        <w:rPr>
          <w:rFonts w:ascii="Times New Roman" w:eastAsia="Times New Roman" w:hAnsi="Times New Roman" w:cs="Times New Roman"/>
          <w:sz w:val="24"/>
          <w:szCs w:val="24"/>
        </w:rPr>
        <w:lastRenderedPageBreak/>
        <w:t xml:space="preserve">the rise of celebrity politics go beyond changes in political ideologies. The ongoing changes in political communication have more to do with global socio-cultural changes.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it would be worth asking if instead of merely capitalizing on these new trends to spread their message and grow their voting base, politicians should assure that they conduct their activities on social media in a way that will benefit its citizens the most, instead of their brand. It’s </w:t>
      </w:r>
    </w:p>
    <w:p w:rsidR="00C30C8B" w:rsidRDefault="001E516C">
      <w:pPr>
        <w:shd w:val="clear" w:color="auto" w:fill="FFFFFF"/>
        <w:spacing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important to highlight that while social media are having an important impact on our society, not everyone has access or uses them. With Instagram specifically, given that about 56% of users are between the ages of 18 and 25 (Statistica), there is a strong limit to how much politicians can benefit from focusing and adapting their communication strategies on these platforms. An interesting study could be to compare the use of social media from a politician known to co-opt elements of celebrity culture such as Justin Trudeau, and compare it to the strategies they use in traditional media, to see whether there is overlap.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 have shown, Justin Trudeau’s use of highly personalized and visual modes of communication through social media content, have allowed him to construct and solidify his political “brand”. Arguably, this has also allowed him to reach out to citizens in innovative ways, but this </w:t>
      </w:r>
      <w:proofErr w:type="gramStart"/>
      <w:r>
        <w:rPr>
          <w:rFonts w:ascii="Times New Roman" w:eastAsia="Times New Roman" w:hAnsi="Times New Roman" w:cs="Times New Roman"/>
          <w:sz w:val="24"/>
          <w:szCs w:val="24"/>
        </w:rPr>
        <w:t>is often done</w:t>
      </w:r>
      <w:proofErr w:type="gramEnd"/>
      <w:r>
        <w:rPr>
          <w:rFonts w:ascii="Times New Roman" w:eastAsia="Times New Roman" w:hAnsi="Times New Roman" w:cs="Times New Roman"/>
          <w:sz w:val="24"/>
          <w:szCs w:val="24"/>
        </w:rPr>
        <w:t xml:space="preserve"> at the expense of substantive political discourse and does not suffice to reach all voters. While this is not to suggest that Trudeau’s communication strategies completely evacuate the political out of his discourse, interesting questions </w:t>
      </w:r>
      <w:proofErr w:type="gramStart"/>
      <w:r>
        <w:rPr>
          <w:rFonts w:ascii="Times New Roman" w:eastAsia="Times New Roman" w:hAnsi="Times New Roman" w:cs="Times New Roman"/>
          <w:sz w:val="24"/>
          <w:szCs w:val="24"/>
        </w:rPr>
        <w:t>have been raised</w:t>
      </w:r>
      <w:proofErr w:type="gramEnd"/>
      <w:r>
        <w:rPr>
          <w:rFonts w:ascii="Times New Roman" w:eastAsia="Times New Roman" w:hAnsi="Times New Roman" w:cs="Times New Roman"/>
          <w:sz w:val="24"/>
          <w:szCs w:val="24"/>
        </w:rPr>
        <w:t xml:space="preserve"> about the extent to which this kind of strategies can ensure meaningful and serious political engagement on the part of citizens on the longer term (Wheeler, 2012). Others have even directly associated this form of politics and political communication with a rise in populism (Nolan &amp; Brookes, 2013). </w:t>
      </w:r>
    </w:p>
    <w:p w:rsidR="00C30C8B" w:rsidRDefault="001E516C">
      <w:pPr>
        <w:shd w:val="clear" w:color="auto" w:fill="FFFFFF"/>
        <w:spacing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it is important to note that I also have not explored the extent to which Trudeau’s pre-existing status as a celebrity may have played a role in his choices of political communication and strategies. This could be an interesting exercise, given the specificities of the </w:t>
      </w:r>
      <w:r>
        <w:rPr>
          <w:rFonts w:ascii="Times New Roman" w:eastAsia="Times New Roman" w:hAnsi="Times New Roman" w:cs="Times New Roman"/>
          <w:sz w:val="24"/>
          <w:szCs w:val="24"/>
        </w:rPr>
        <w:lastRenderedPageBreak/>
        <w:t xml:space="preserve">Canadian context. While such considerations are beyond the scope of this paper, it would greatly contribute to deepening our understanding of how political communications is affected by social media, celebrity culture and popular culture but limited by the confines of the socio-cultural and historical contexts within which they operate. Although this study focuses on a democratic system, it could also be interesting for future studies to compare with other political systems to see how celebrity politics may differ in its presentation and usage. </w:t>
      </w:r>
    </w:p>
    <w:p w:rsidR="00C30C8B" w:rsidRDefault="00C30C8B">
      <w:pPr>
        <w:shd w:val="clear" w:color="auto" w:fill="FFFFFF"/>
        <w:spacing w:line="480" w:lineRule="auto"/>
        <w:jc w:val="both"/>
        <w:rPr>
          <w:rFonts w:ascii="Times New Roman" w:eastAsia="Times New Roman" w:hAnsi="Times New Roman" w:cs="Times New Roman"/>
          <w:sz w:val="24"/>
          <w:szCs w:val="24"/>
        </w:rPr>
      </w:pPr>
    </w:p>
    <w:p w:rsidR="00C30C8B" w:rsidRDefault="00C30C8B">
      <w:pPr>
        <w:shd w:val="clear" w:color="auto" w:fill="FFFFFF"/>
        <w:spacing w:line="480" w:lineRule="auto"/>
        <w:jc w:val="both"/>
        <w:rPr>
          <w:rFonts w:ascii="Times New Roman" w:eastAsia="Times New Roman" w:hAnsi="Times New Roman" w:cs="Times New Roman"/>
          <w:sz w:val="24"/>
          <w:szCs w:val="24"/>
        </w:rPr>
      </w:pPr>
    </w:p>
    <w:p w:rsidR="00C30C8B" w:rsidRDefault="00C30C8B">
      <w:pPr>
        <w:shd w:val="clear" w:color="auto" w:fill="FFFFFF"/>
        <w:spacing w:line="240" w:lineRule="auto"/>
        <w:rPr>
          <w:rFonts w:ascii="Times New Roman" w:eastAsia="Times New Roman" w:hAnsi="Times New Roman" w:cs="Times New Roman"/>
          <w:sz w:val="24"/>
          <w:szCs w:val="24"/>
        </w:rPr>
      </w:pPr>
    </w:p>
    <w:p w:rsidR="00C30C8B" w:rsidRDefault="00C30C8B">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EF2EA7" w:rsidRDefault="00EF2EA7">
      <w:pPr>
        <w:shd w:val="clear" w:color="auto" w:fill="FFFFFF"/>
        <w:spacing w:line="240" w:lineRule="auto"/>
        <w:rPr>
          <w:rFonts w:ascii="Times New Roman" w:eastAsia="Times New Roman" w:hAnsi="Times New Roman" w:cs="Times New Roman"/>
          <w:sz w:val="24"/>
          <w:szCs w:val="24"/>
        </w:rPr>
      </w:pPr>
    </w:p>
    <w:p w:rsidR="00C30C8B" w:rsidRDefault="00C30C8B">
      <w:pPr>
        <w:shd w:val="clear" w:color="auto" w:fill="FFFFFF"/>
        <w:spacing w:line="240" w:lineRule="auto"/>
        <w:rPr>
          <w:rFonts w:ascii="Times New Roman" w:eastAsia="Times New Roman" w:hAnsi="Times New Roman" w:cs="Times New Roman"/>
          <w:sz w:val="24"/>
          <w:szCs w:val="24"/>
        </w:rPr>
      </w:pPr>
    </w:p>
    <w:p w:rsidR="00C30C8B" w:rsidRDefault="00C30C8B">
      <w:pPr>
        <w:shd w:val="clear" w:color="auto" w:fill="FFFFFF"/>
        <w:spacing w:line="240" w:lineRule="auto"/>
        <w:rPr>
          <w:rFonts w:ascii="Times New Roman" w:eastAsia="Times New Roman" w:hAnsi="Times New Roman" w:cs="Times New Roman"/>
          <w:sz w:val="24"/>
          <w:szCs w:val="24"/>
        </w:rPr>
      </w:pPr>
    </w:p>
    <w:p w:rsidR="00C30C8B" w:rsidRDefault="00C30C8B">
      <w:pPr>
        <w:shd w:val="clear" w:color="auto" w:fill="FFFFFF"/>
        <w:spacing w:line="240" w:lineRule="auto"/>
        <w:rPr>
          <w:rFonts w:ascii="Times New Roman" w:eastAsia="Times New Roman" w:hAnsi="Times New Roman" w:cs="Times New Roman"/>
          <w:sz w:val="24"/>
          <w:szCs w:val="24"/>
        </w:rPr>
      </w:pPr>
    </w:p>
    <w:p w:rsidR="00C30C8B" w:rsidRDefault="000E531A">
      <w:pPr>
        <w:shd w:val="clear" w:color="auto" w:fill="FFFFFF"/>
        <w:spacing w:line="240" w:lineRule="auto"/>
        <w:jc w:val="center"/>
        <w:rPr>
          <w:rFonts w:ascii="Times New Roman" w:eastAsia="Times New Roman" w:hAnsi="Times New Roman" w:cs="Times New Roman"/>
          <w:b/>
          <w:color w:val="212121"/>
          <w:sz w:val="24"/>
          <w:szCs w:val="24"/>
        </w:rPr>
      </w:pPr>
      <w:r>
        <w:rPr>
          <w:rFonts w:ascii="Times New Roman" w:eastAsia="Times New Roman" w:hAnsi="Times New Roman" w:cs="Times New Roman"/>
          <w:b/>
          <w:color w:val="212121"/>
          <w:sz w:val="24"/>
          <w:szCs w:val="24"/>
        </w:rPr>
        <w:lastRenderedPageBreak/>
        <w:t>Bibliography</w:t>
      </w:r>
    </w:p>
    <w:p w:rsidR="00C30C8B" w:rsidRDefault="00C30C8B">
      <w:pPr>
        <w:shd w:val="clear" w:color="auto" w:fill="FFFFFF"/>
        <w:spacing w:line="240" w:lineRule="auto"/>
        <w:jc w:val="center"/>
        <w:rPr>
          <w:rFonts w:ascii="Times New Roman" w:eastAsia="Times New Roman" w:hAnsi="Times New Roman" w:cs="Times New Roman"/>
          <w:sz w:val="24"/>
          <w:szCs w:val="24"/>
        </w:rPr>
      </w:pPr>
    </w:p>
    <w:p w:rsidR="00C30C8B" w:rsidRDefault="001E516C" w:rsidP="00EF2EA7">
      <w:pPr>
        <w:shd w:val="clear" w:color="auto" w:fill="FFFFFF"/>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Akin, D. (2015, November 15). Justin Trudeau is Prime Minister Selfie. </w:t>
      </w:r>
      <w:r>
        <w:rPr>
          <w:rFonts w:ascii="Times New Roman" w:eastAsia="Times New Roman" w:hAnsi="Times New Roman" w:cs="Times New Roman"/>
          <w:i/>
          <w:sz w:val="24"/>
          <w:szCs w:val="24"/>
        </w:rPr>
        <w:t xml:space="preserve">The Toronto Sun. </w:t>
      </w:r>
    </w:p>
    <w:p w:rsidR="00C30C8B" w:rsidRDefault="001E516C" w:rsidP="007F459E">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Retrieved from </w:t>
      </w:r>
      <w:hyperlink r:id="rId117" w:history="1">
        <w:r w:rsidR="00EF2EA7" w:rsidRPr="00427400">
          <w:rPr>
            <w:rStyle w:val="Hyperlink"/>
            <w:rFonts w:ascii="Times New Roman" w:eastAsia="Times New Roman" w:hAnsi="Times New Roman" w:cs="Times New Roman"/>
            <w:sz w:val="24"/>
            <w:szCs w:val="24"/>
          </w:rPr>
          <w:t>https://torontosun.com/2015/11/15/justin-trudeau-is-prime-minister-</w:t>
        </w:r>
      </w:hyperlink>
      <w:r w:rsidR="00EF2E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C30C8B" w:rsidRPr="001E516C" w:rsidRDefault="001E516C" w:rsidP="00EF2EA7">
      <w:pPr>
        <w:shd w:val="clear" w:color="auto" w:fill="FFFFFF"/>
        <w:spacing w:line="240" w:lineRule="auto"/>
        <w:jc w:val="both"/>
        <w:rPr>
          <w:rFonts w:ascii="Times New Roman" w:eastAsia="Times New Roman" w:hAnsi="Times New Roman" w:cs="Times New Roman"/>
          <w:sz w:val="24"/>
          <w:szCs w:val="24"/>
          <w:lang w:val="de-DE"/>
        </w:rPr>
      </w:pPr>
      <w:r w:rsidRPr="001E516C">
        <w:rPr>
          <w:rFonts w:ascii="Times New Roman" w:eastAsia="Times New Roman" w:hAnsi="Times New Roman" w:cs="Times New Roman"/>
          <w:sz w:val="24"/>
          <w:szCs w:val="24"/>
          <w:lang w:val="de-DE"/>
        </w:rPr>
        <w:t xml:space="preserve">selfie/wcm/4156daf4-d59e-4479-997b-5f2eb325c545 </w:t>
      </w:r>
    </w:p>
    <w:p w:rsidR="00C30C8B" w:rsidRPr="001E516C" w:rsidRDefault="00C30C8B">
      <w:pPr>
        <w:shd w:val="clear" w:color="auto" w:fill="FFFFFF"/>
        <w:spacing w:line="240" w:lineRule="auto"/>
        <w:jc w:val="both"/>
        <w:rPr>
          <w:rFonts w:ascii="Times New Roman" w:eastAsia="Times New Roman" w:hAnsi="Times New Roman" w:cs="Times New Roman"/>
          <w:sz w:val="24"/>
          <w:szCs w:val="24"/>
          <w:lang w:val="de-DE"/>
        </w:rPr>
      </w:pPr>
    </w:p>
    <w:p w:rsidR="00C30C8B" w:rsidRDefault="001E516C" w:rsidP="007F459E">
      <w:pPr>
        <w:shd w:val="clear" w:color="auto" w:fill="FFFFFF"/>
        <w:spacing w:line="240" w:lineRule="auto"/>
        <w:jc w:val="both"/>
        <w:rPr>
          <w:rFonts w:ascii="Times New Roman" w:eastAsia="Times New Roman" w:hAnsi="Times New Roman" w:cs="Times New Roman"/>
          <w:sz w:val="24"/>
          <w:szCs w:val="24"/>
        </w:rPr>
      </w:pPr>
      <w:r w:rsidRPr="007F459E">
        <w:rPr>
          <w:rFonts w:ascii="Times New Roman" w:eastAsia="Times New Roman" w:hAnsi="Times New Roman" w:cs="Times New Roman"/>
          <w:sz w:val="24"/>
          <w:szCs w:val="24"/>
          <w:lang w:val="de-DE"/>
        </w:rPr>
        <w:t xml:space="preserve">Alberoni, F. (2007). </w:t>
      </w:r>
      <w:r>
        <w:rPr>
          <w:rFonts w:ascii="Times New Roman" w:eastAsia="Times New Roman" w:hAnsi="Times New Roman" w:cs="Times New Roman"/>
          <w:sz w:val="24"/>
          <w:szCs w:val="24"/>
        </w:rPr>
        <w:t xml:space="preserve">The powerless “elite”: theory and sociological research on the phenomenon of the stars. In Redmond, S., &amp; Holmes, S. (Eds.). (2007). </w:t>
      </w:r>
      <w:r>
        <w:rPr>
          <w:rFonts w:ascii="Times New Roman" w:eastAsia="Times New Roman" w:hAnsi="Times New Roman" w:cs="Times New Roman"/>
          <w:i/>
          <w:sz w:val="24"/>
          <w:szCs w:val="24"/>
        </w:rPr>
        <w:t>Stardom and celebrity: A reader</w:t>
      </w:r>
      <w:r>
        <w:rPr>
          <w:rFonts w:ascii="Times New Roman" w:eastAsia="Times New Roman" w:hAnsi="Times New Roman" w:cs="Times New Roman"/>
          <w:sz w:val="24"/>
          <w:szCs w:val="24"/>
        </w:rPr>
        <w:t xml:space="preserve">. London: Sage. </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C30C8B" w:rsidRPr="007F459E" w:rsidRDefault="001E516C" w:rsidP="007F459E">
      <w:pPr>
        <w:shd w:val="clear" w:color="auto" w:fill="FFFFFF"/>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Andrew-Gee, E. (2016, August 12). The unmediated photo is the message. </w:t>
      </w:r>
      <w:r>
        <w:rPr>
          <w:rFonts w:ascii="Times New Roman" w:eastAsia="Times New Roman" w:hAnsi="Times New Roman" w:cs="Times New Roman"/>
          <w:i/>
          <w:sz w:val="24"/>
          <w:szCs w:val="24"/>
        </w:rPr>
        <w:t xml:space="preserve">The Globe and Mail. </w:t>
      </w:r>
      <w:r>
        <w:rPr>
          <w:rFonts w:ascii="Times New Roman" w:eastAsia="Times New Roman" w:hAnsi="Times New Roman" w:cs="Times New Roman"/>
          <w:sz w:val="24"/>
          <w:szCs w:val="24"/>
        </w:rPr>
        <w:t xml:space="preserve">Retrieved from https://www.theglobeandmail.com/news/national/the-unmediated-photo- </w:t>
      </w:r>
    </w:p>
    <w:p w:rsidR="00C30C8B" w:rsidRDefault="001E516C" w:rsidP="007F459E">
      <w:pPr>
        <w:shd w:val="clear" w:color="auto" w:fill="FFFFFF"/>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is-themessage/article31389091</w:t>
      </w:r>
      <w:proofErr w:type="gramEnd"/>
      <w:r>
        <w:rPr>
          <w:rFonts w:ascii="Times New Roman" w:eastAsia="Times New Roman" w:hAnsi="Times New Roman" w:cs="Times New Roman"/>
          <w:sz w:val="24"/>
          <w:szCs w:val="24"/>
        </w:rPr>
        <w:t xml:space="preserve">/ </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C30C8B" w:rsidRDefault="001E516C" w:rsidP="00EF2EA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Balmas, M., Rahat, G., Sheafer, T., &amp; Shenhav, S. R. (2014). Two routes to personalized politics: </w:t>
      </w:r>
    </w:p>
    <w:p w:rsidR="00C30C8B" w:rsidRDefault="001E516C" w:rsidP="007F459E">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Centralized and decentralized personalization. </w:t>
      </w:r>
      <w:r>
        <w:rPr>
          <w:rFonts w:ascii="Times New Roman" w:eastAsia="Times New Roman" w:hAnsi="Times New Roman" w:cs="Times New Roman"/>
          <w:i/>
          <w:sz w:val="24"/>
          <w:szCs w:val="24"/>
        </w:rPr>
        <w:t>Party Politics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20 </w:t>
      </w:r>
      <w:r>
        <w:rPr>
          <w:rFonts w:ascii="Times New Roman" w:eastAsia="Times New Roman" w:hAnsi="Times New Roman" w:cs="Times New Roman"/>
          <w:sz w:val="24"/>
          <w:szCs w:val="24"/>
        </w:rPr>
        <w:t xml:space="preserve">(1), 37–51. </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C30C8B" w:rsidRDefault="001E516C" w:rsidP="00EF2EA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Beaulieu, M. (2017, February 21). Everybody loves Justin: How Trudeaumania, Vol. 2 is </w:t>
      </w:r>
    </w:p>
    <w:p w:rsidR="00C30C8B" w:rsidRDefault="001E516C" w:rsidP="007F459E">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bringing</w:t>
      </w:r>
      <w:proofErr w:type="gramEnd"/>
      <w:r>
        <w:rPr>
          <w:rFonts w:ascii="Times New Roman" w:eastAsia="Times New Roman" w:hAnsi="Times New Roman" w:cs="Times New Roman"/>
          <w:sz w:val="24"/>
          <w:szCs w:val="24"/>
        </w:rPr>
        <w:t xml:space="preserve"> sexy back to Canada. </w:t>
      </w:r>
      <w:r>
        <w:rPr>
          <w:rFonts w:ascii="Times New Roman" w:eastAsia="Times New Roman" w:hAnsi="Times New Roman" w:cs="Times New Roman"/>
          <w:i/>
          <w:sz w:val="24"/>
          <w:szCs w:val="24"/>
        </w:rPr>
        <w:t xml:space="preserve">CBC News. </w:t>
      </w:r>
      <w:r>
        <w:rPr>
          <w:rFonts w:ascii="Times New Roman" w:eastAsia="Times New Roman" w:hAnsi="Times New Roman" w:cs="Times New Roman"/>
          <w:sz w:val="24"/>
          <w:szCs w:val="24"/>
        </w:rPr>
        <w:t xml:space="preserve">Retrieved from </w:t>
      </w:r>
    </w:p>
    <w:p w:rsidR="00C30C8B" w:rsidRDefault="002305CD" w:rsidP="007F459E">
      <w:pPr>
        <w:spacing w:line="240" w:lineRule="auto"/>
        <w:jc w:val="both"/>
        <w:rPr>
          <w:rFonts w:ascii="Times New Roman" w:eastAsia="Times New Roman" w:hAnsi="Times New Roman" w:cs="Times New Roman"/>
          <w:sz w:val="24"/>
          <w:szCs w:val="24"/>
        </w:rPr>
      </w:pPr>
      <w:hyperlink r:id="rId118">
        <w:r w:rsidR="001E516C">
          <w:rPr>
            <w:rFonts w:ascii="Times New Roman" w:eastAsia="Times New Roman" w:hAnsi="Times New Roman" w:cs="Times New Roman"/>
            <w:color w:val="1155CC"/>
            <w:sz w:val="24"/>
            <w:szCs w:val="24"/>
            <w:u w:val="single"/>
          </w:rPr>
          <w:t>https://www.cbc.ca/life/wellness/everybody-loves-justin-how-trudeaumania-vol-2-is-bringing-se</w:t>
        </w:r>
      </w:hyperlink>
    </w:p>
    <w:p w:rsidR="00C30C8B" w:rsidRDefault="001E516C" w:rsidP="007F459E">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xy-back-to-canada-1.3993053</w:t>
      </w:r>
      <w:proofErr w:type="gramEnd"/>
    </w:p>
    <w:p w:rsidR="00C30C8B" w:rsidRDefault="00C30C8B">
      <w:pPr>
        <w:spacing w:line="240" w:lineRule="auto"/>
        <w:jc w:val="both"/>
        <w:rPr>
          <w:rFonts w:ascii="Times New Roman" w:eastAsia="Times New Roman" w:hAnsi="Times New Roman" w:cs="Times New Roman"/>
          <w:sz w:val="24"/>
          <w:szCs w:val="24"/>
          <w:highlight w:val="white"/>
        </w:rPr>
      </w:pPr>
    </w:p>
    <w:p w:rsidR="00C30C8B" w:rsidRDefault="001E516C" w:rsidP="00EF2EA7">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Driessens, O. (2013). The celebritization of society and culture: Understanding the structural </w:t>
      </w:r>
    </w:p>
    <w:p w:rsidR="00C30C8B" w:rsidRDefault="001E516C" w:rsidP="007F459E">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highlight w:val="white"/>
        </w:rPr>
        <w:t>dynamics</w:t>
      </w:r>
      <w:proofErr w:type="gramEnd"/>
      <w:r>
        <w:rPr>
          <w:rFonts w:ascii="Times New Roman" w:eastAsia="Times New Roman" w:hAnsi="Times New Roman" w:cs="Times New Roman"/>
          <w:sz w:val="24"/>
          <w:szCs w:val="24"/>
          <w:highlight w:val="white"/>
        </w:rPr>
        <w:t xml:space="preserve"> of celebrity culture. </w:t>
      </w:r>
      <w:r>
        <w:rPr>
          <w:rFonts w:ascii="Times New Roman" w:eastAsia="Times New Roman" w:hAnsi="Times New Roman" w:cs="Times New Roman"/>
          <w:i/>
          <w:sz w:val="24"/>
          <w:szCs w:val="24"/>
          <w:highlight w:val="white"/>
        </w:rPr>
        <w:t>International journal of cultural studies</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16</w:t>
      </w:r>
      <w:r>
        <w:rPr>
          <w:rFonts w:ascii="Times New Roman" w:eastAsia="Times New Roman" w:hAnsi="Times New Roman" w:cs="Times New Roman"/>
          <w:sz w:val="24"/>
          <w:szCs w:val="24"/>
          <w:highlight w:val="white"/>
        </w:rPr>
        <w:t>(6), 641-657.</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C30C8B" w:rsidRDefault="001E516C" w:rsidP="00EF2EA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Ekman, M., &amp; Widholm, A. (2014). Twitter and the celebritisation of politics. </w:t>
      </w:r>
      <w:r>
        <w:rPr>
          <w:rFonts w:ascii="Times New Roman" w:eastAsia="Times New Roman" w:hAnsi="Times New Roman" w:cs="Times New Roman"/>
          <w:i/>
          <w:sz w:val="24"/>
          <w:szCs w:val="24"/>
        </w:rPr>
        <w:t>Celebrity Studies</w:t>
      </w:r>
      <w:r>
        <w:rPr>
          <w:rFonts w:ascii="Times New Roman" w:eastAsia="Times New Roman" w:hAnsi="Times New Roman" w:cs="Times New Roman"/>
          <w:sz w:val="24"/>
          <w:szCs w:val="24"/>
        </w:rPr>
        <w:t xml:space="preserve">, </w:t>
      </w:r>
    </w:p>
    <w:p w:rsidR="00C30C8B" w:rsidRDefault="001E516C" w:rsidP="007F459E">
      <w:pPr>
        <w:shd w:val="clear" w:color="auto" w:fill="FFFFFF"/>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5</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(4), 518–520.</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C30C8B" w:rsidRDefault="001E516C" w:rsidP="00EF2EA7">
      <w:pPr>
        <w:shd w:val="clear" w:color="auto" w:fill="FFFFFF"/>
        <w:spacing w:line="240" w:lineRule="auto"/>
        <w:jc w:val="both"/>
        <w:rPr>
          <w:rFonts w:ascii="Times New Roman" w:eastAsia="Times New Roman" w:hAnsi="Times New Roman" w:cs="Times New Roman"/>
          <w:sz w:val="24"/>
          <w:szCs w:val="24"/>
        </w:rPr>
      </w:pPr>
      <w:r w:rsidRPr="00EF2EA7">
        <w:rPr>
          <w:rFonts w:ascii="Times New Roman" w:eastAsia="Times New Roman" w:hAnsi="Times New Roman" w:cs="Times New Roman"/>
          <w:sz w:val="24"/>
          <w:szCs w:val="24"/>
          <w:lang w:val="fr-FR"/>
        </w:rPr>
        <w:t xml:space="preserve">Gamson, W. A., Croteau, D., Hoynes, W., &amp; Sasson, T. (1992). </w:t>
      </w:r>
      <w:r>
        <w:rPr>
          <w:rFonts w:ascii="Times New Roman" w:eastAsia="Times New Roman" w:hAnsi="Times New Roman" w:cs="Times New Roman"/>
          <w:sz w:val="24"/>
          <w:szCs w:val="24"/>
        </w:rPr>
        <w:t xml:space="preserve">Media images and the social </w:t>
      </w:r>
    </w:p>
    <w:p w:rsidR="00C30C8B" w:rsidRDefault="001E516C" w:rsidP="007F459E">
      <w:pPr>
        <w:shd w:val="clear" w:color="auto" w:fill="FFFFFF"/>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construction</w:t>
      </w:r>
      <w:proofErr w:type="gramEnd"/>
      <w:r>
        <w:rPr>
          <w:rFonts w:ascii="Times New Roman" w:eastAsia="Times New Roman" w:hAnsi="Times New Roman" w:cs="Times New Roman"/>
          <w:sz w:val="24"/>
          <w:szCs w:val="24"/>
        </w:rPr>
        <w:t xml:space="preserve"> of reality. </w:t>
      </w:r>
      <w:r>
        <w:rPr>
          <w:rFonts w:ascii="Times New Roman" w:eastAsia="Times New Roman" w:hAnsi="Times New Roman" w:cs="Times New Roman"/>
          <w:i/>
          <w:sz w:val="24"/>
          <w:szCs w:val="24"/>
        </w:rPr>
        <w:t>Annual review of sociology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18 </w:t>
      </w:r>
      <w:r>
        <w:rPr>
          <w:rFonts w:ascii="Times New Roman" w:eastAsia="Times New Roman" w:hAnsi="Times New Roman" w:cs="Times New Roman"/>
          <w:sz w:val="24"/>
          <w:szCs w:val="24"/>
        </w:rPr>
        <w:t xml:space="preserve">(1), 373–393. </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C30C8B" w:rsidRDefault="001E516C" w:rsidP="00EF2EA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Jay, M. (1992). “The Aesthetic Ideology” as Ideology; or, What Does It Mean to Aestheticize </w:t>
      </w:r>
    </w:p>
    <w:p w:rsidR="00C30C8B" w:rsidRDefault="001E516C" w:rsidP="007F459E">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Politics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Cultural Critique</w:t>
      </w:r>
      <w:r>
        <w:rPr>
          <w:rFonts w:ascii="Times New Roman" w:eastAsia="Times New Roman" w:hAnsi="Times New Roman" w:cs="Times New Roman"/>
          <w:sz w:val="24"/>
          <w:szCs w:val="24"/>
        </w:rPr>
        <w:t xml:space="preserve">, (21), 41–61. </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C30C8B" w:rsidRDefault="001E516C" w:rsidP="00EF2EA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Khosravinik, M. (2014). Critical discourse analysis, power and new media discourse. In Y. </w:t>
      </w:r>
    </w:p>
    <w:p w:rsidR="00C30C8B" w:rsidRDefault="001E516C" w:rsidP="007F459E">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Kalyango, and M.W. Kopytowska (eds.) </w:t>
      </w:r>
      <w:r>
        <w:rPr>
          <w:rFonts w:ascii="Times New Roman" w:eastAsia="Times New Roman" w:hAnsi="Times New Roman" w:cs="Times New Roman"/>
          <w:i/>
          <w:sz w:val="24"/>
          <w:szCs w:val="24"/>
        </w:rPr>
        <w:t xml:space="preserve">Why discourse matters: Negotiating identity in the </w:t>
      </w:r>
    </w:p>
    <w:p w:rsidR="00C30C8B" w:rsidRDefault="001E516C" w:rsidP="007F459E">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mediatized</w:t>
      </w:r>
      <w:proofErr w:type="gramEnd"/>
      <w:r>
        <w:rPr>
          <w:rFonts w:ascii="Times New Roman" w:eastAsia="Times New Roman" w:hAnsi="Times New Roman" w:cs="Times New Roman"/>
          <w:i/>
          <w:sz w:val="24"/>
          <w:szCs w:val="24"/>
        </w:rPr>
        <w:t xml:space="preserve"> world</w:t>
      </w:r>
      <w:r>
        <w:rPr>
          <w:rFonts w:ascii="Times New Roman" w:eastAsia="Times New Roman" w:hAnsi="Times New Roman" w:cs="Times New Roman"/>
          <w:sz w:val="24"/>
          <w:szCs w:val="24"/>
        </w:rPr>
        <w:t>, 287–306. New York, NY: Peter Lang.</w:t>
      </w:r>
    </w:p>
    <w:p w:rsidR="00C30C8B" w:rsidRDefault="00C30C8B">
      <w:pPr>
        <w:shd w:val="clear" w:color="auto" w:fill="FFFFFF"/>
        <w:spacing w:line="240" w:lineRule="auto"/>
        <w:ind w:left="567"/>
        <w:jc w:val="both"/>
        <w:rPr>
          <w:rFonts w:ascii="Times New Roman" w:eastAsia="Times New Roman" w:hAnsi="Times New Roman" w:cs="Times New Roman"/>
          <w:sz w:val="24"/>
          <w:szCs w:val="24"/>
        </w:rPr>
      </w:pPr>
    </w:p>
    <w:p w:rsidR="00C30C8B" w:rsidRDefault="001E516C" w:rsidP="00EF2EA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Lalancette, M., &amp; Cormack, P. (2018). Justin Trudeau and the play of celebrity in the 2015 </w:t>
      </w:r>
    </w:p>
    <w:p w:rsidR="00C30C8B" w:rsidRDefault="001E516C" w:rsidP="007F459E">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Canadian federal election campaign. </w:t>
      </w:r>
      <w:r>
        <w:rPr>
          <w:rFonts w:ascii="Times New Roman" w:eastAsia="Times New Roman" w:hAnsi="Times New Roman" w:cs="Times New Roman"/>
          <w:i/>
          <w:sz w:val="24"/>
          <w:szCs w:val="24"/>
        </w:rPr>
        <w:t>Celebrity Studies</w:t>
      </w:r>
      <w:r>
        <w:rPr>
          <w:rFonts w:ascii="Times New Roman" w:eastAsia="Times New Roman" w:hAnsi="Times New Roman" w:cs="Times New Roman"/>
          <w:sz w:val="24"/>
          <w:szCs w:val="24"/>
        </w:rPr>
        <w:t xml:space="preserve">, 1–14. </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C30C8B" w:rsidRDefault="001E516C" w:rsidP="00EF2EA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Lalancette, M., &amp; Raynauld, V. (2017). The power of political image: Justin Trudeau, Instagram, </w:t>
      </w:r>
    </w:p>
    <w:p w:rsidR="00C30C8B" w:rsidRDefault="001E516C" w:rsidP="007F459E">
      <w:pPr>
        <w:shd w:val="clear" w:color="auto" w:fill="FFFFFF"/>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celebrity politics. </w:t>
      </w:r>
      <w:r>
        <w:rPr>
          <w:rFonts w:ascii="Times New Roman" w:eastAsia="Times New Roman" w:hAnsi="Times New Roman" w:cs="Times New Roman"/>
          <w:i/>
          <w:sz w:val="24"/>
          <w:szCs w:val="24"/>
        </w:rPr>
        <w:t>American Behavioral Scientist</w:t>
      </w:r>
      <w:r>
        <w:rPr>
          <w:rFonts w:ascii="Times New Roman" w:eastAsia="Times New Roman" w:hAnsi="Times New Roman" w:cs="Times New Roman"/>
          <w:sz w:val="24"/>
          <w:szCs w:val="24"/>
        </w:rPr>
        <w:t xml:space="preserve">, 0002764217744838. </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C30C8B" w:rsidRDefault="001E516C" w:rsidP="00EF2EA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Marland, A. (2013, June). What is a political brand? : Justin Trudeau and the theory of political </w:t>
      </w:r>
    </w:p>
    <w:p w:rsidR="00C30C8B" w:rsidRDefault="001E516C" w:rsidP="007F459E">
      <w:pPr>
        <w:shd w:val="clear" w:color="auto" w:fill="FFFFFF"/>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branding</w:t>
      </w:r>
      <w:proofErr w:type="gramEnd"/>
      <w:r>
        <w:rPr>
          <w:rFonts w:ascii="Times New Roman" w:eastAsia="Times New Roman" w:hAnsi="Times New Roman" w:cs="Times New Roman"/>
          <w:sz w:val="24"/>
          <w:szCs w:val="24"/>
        </w:rPr>
        <w:t xml:space="preserve">. In annual meeting of the Canadian Communication Association and the Canadian </w:t>
      </w:r>
    </w:p>
    <w:p w:rsidR="00C30C8B" w:rsidRDefault="001E516C" w:rsidP="007F459E">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Science Association, University of Victoria, British Columbia, June (Vol. 6).</w:t>
      </w:r>
    </w:p>
    <w:p w:rsidR="00C30C8B" w:rsidRDefault="001E516C">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 xml:space="preserve">Marshall, P. D. (2010). The promotion and presentation of the self: celebrity as marker of </w:t>
      </w:r>
    </w:p>
    <w:p w:rsidR="00C30C8B" w:rsidRDefault="001E516C" w:rsidP="002F4C64">
      <w:pPr>
        <w:shd w:val="clear" w:color="auto" w:fill="FFFFFF"/>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presentational</w:t>
      </w:r>
      <w:proofErr w:type="gramEnd"/>
      <w:r>
        <w:rPr>
          <w:rFonts w:ascii="Times New Roman" w:eastAsia="Times New Roman" w:hAnsi="Times New Roman" w:cs="Times New Roman"/>
          <w:sz w:val="24"/>
          <w:szCs w:val="24"/>
        </w:rPr>
        <w:t xml:space="preserve"> media. </w:t>
      </w:r>
      <w:r>
        <w:rPr>
          <w:rFonts w:ascii="Times New Roman" w:eastAsia="Times New Roman" w:hAnsi="Times New Roman" w:cs="Times New Roman"/>
          <w:i/>
          <w:sz w:val="24"/>
          <w:szCs w:val="24"/>
        </w:rPr>
        <w:t>Celebrity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1 </w:t>
      </w:r>
      <w:r>
        <w:rPr>
          <w:rFonts w:ascii="Times New Roman" w:eastAsia="Times New Roman" w:hAnsi="Times New Roman" w:cs="Times New Roman"/>
          <w:sz w:val="24"/>
          <w:szCs w:val="24"/>
        </w:rPr>
        <w:t>(1), 35–48.</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2F4C64" w:rsidRDefault="001E516C">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Marshall, P. D. (2014). </w:t>
      </w:r>
      <w:r>
        <w:rPr>
          <w:rFonts w:ascii="Times New Roman" w:eastAsia="Times New Roman" w:hAnsi="Times New Roman" w:cs="Times New Roman"/>
          <w:i/>
          <w:sz w:val="24"/>
          <w:szCs w:val="24"/>
        </w:rPr>
        <w:t>Celebrity and power: Fame in contemporary culture</w:t>
      </w:r>
      <w:r>
        <w:rPr>
          <w:rFonts w:ascii="Times New Roman" w:eastAsia="Times New Roman" w:hAnsi="Times New Roman" w:cs="Times New Roman"/>
          <w:sz w:val="24"/>
          <w:szCs w:val="24"/>
        </w:rPr>
        <w:t xml:space="preserve">. University of </w:t>
      </w:r>
    </w:p>
    <w:p w:rsidR="00C30C8B" w:rsidRDefault="001E516C">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Minnesota Press. </w:t>
      </w:r>
    </w:p>
    <w:p w:rsidR="00C30C8B" w:rsidRDefault="00C30C8B">
      <w:pPr>
        <w:spacing w:line="240" w:lineRule="auto"/>
        <w:jc w:val="both"/>
        <w:rPr>
          <w:rFonts w:ascii="Times New Roman" w:eastAsia="Times New Roman" w:hAnsi="Times New Roman" w:cs="Times New Roman"/>
          <w:sz w:val="24"/>
          <w:szCs w:val="24"/>
          <w:highlight w:val="white"/>
        </w:rPr>
      </w:pPr>
    </w:p>
    <w:p w:rsidR="00C30C8B" w:rsidRDefault="001E516C" w:rsidP="00EF2EA7">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Marsh, D., Hart, P. T., &amp; Tindall, K. (2010). Celebrity politics: The politics of the late </w:t>
      </w:r>
    </w:p>
    <w:p w:rsidR="00C30C8B" w:rsidRDefault="001E516C" w:rsidP="002F4C64">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highlight w:val="white"/>
        </w:rPr>
        <w:t>modernity</w:t>
      </w:r>
      <w:proofErr w:type="gramEnd"/>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Political studies review</w:t>
      </w:r>
      <w:r>
        <w:rPr>
          <w:rFonts w:ascii="Times New Roman" w:eastAsia="Times New Roman" w:hAnsi="Times New Roman" w:cs="Times New Roman"/>
          <w:sz w:val="24"/>
          <w:szCs w:val="24"/>
          <w:highlight w:val="white"/>
        </w:rPr>
        <w:t>, </w:t>
      </w:r>
      <w:r>
        <w:rPr>
          <w:rFonts w:ascii="Times New Roman" w:eastAsia="Times New Roman" w:hAnsi="Times New Roman" w:cs="Times New Roman"/>
          <w:i/>
          <w:sz w:val="24"/>
          <w:szCs w:val="24"/>
          <w:highlight w:val="white"/>
        </w:rPr>
        <w:t>8</w:t>
      </w:r>
      <w:r>
        <w:rPr>
          <w:rFonts w:ascii="Times New Roman" w:eastAsia="Times New Roman" w:hAnsi="Times New Roman" w:cs="Times New Roman"/>
          <w:sz w:val="24"/>
          <w:szCs w:val="24"/>
          <w:highlight w:val="white"/>
        </w:rPr>
        <w:t>(3), 322-340.</w:t>
      </w:r>
    </w:p>
    <w:p w:rsidR="00C30C8B" w:rsidRDefault="00C30C8B">
      <w:pPr>
        <w:spacing w:line="240" w:lineRule="auto"/>
        <w:jc w:val="both"/>
        <w:rPr>
          <w:rFonts w:ascii="Times New Roman" w:eastAsia="Times New Roman" w:hAnsi="Times New Roman" w:cs="Times New Roman"/>
          <w:sz w:val="24"/>
          <w:szCs w:val="24"/>
          <w:highlight w:val="white"/>
        </w:rPr>
      </w:pPr>
    </w:p>
    <w:p w:rsidR="00C30C8B" w:rsidRDefault="001E516C" w:rsidP="00EF2EA7">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McLuhan, M. (1967). The medium is the message. In Meenakshi G. D. &amp; Douglas M. 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Eds.). </w:t>
      </w:r>
    </w:p>
    <w:p w:rsidR="00C30C8B" w:rsidRDefault="001E516C" w:rsidP="002F4C64">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 xml:space="preserve">Media and Cultural </w:t>
      </w:r>
      <w:proofErr w:type="gramStart"/>
      <w:r>
        <w:rPr>
          <w:rFonts w:ascii="Times New Roman" w:eastAsia="Times New Roman" w:hAnsi="Times New Roman" w:cs="Times New Roman"/>
          <w:i/>
          <w:sz w:val="24"/>
          <w:szCs w:val="24"/>
          <w:highlight w:val="white"/>
        </w:rPr>
        <w:t>Studies :</w:t>
      </w:r>
      <w:proofErr w:type="gramEnd"/>
      <w:r>
        <w:rPr>
          <w:rFonts w:ascii="Times New Roman" w:eastAsia="Times New Roman" w:hAnsi="Times New Roman" w:cs="Times New Roman"/>
          <w:i/>
          <w:sz w:val="24"/>
          <w:szCs w:val="24"/>
          <w:highlight w:val="white"/>
        </w:rPr>
        <w:t xml:space="preserve"> Keyworks</w:t>
      </w:r>
      <w:r>
        <w:rPr>
          <w:rFonts w:ascii="Times New Roman" w:eastAsia="Times New Roman" w:hAnsi="Times New Roman" w:cs="Times New Roman"/>
          <w:sz w:val="24"/>
          <w:szCs w:val="24"/>
          <w:highlight w:val="white"/>
        </w:rPr>
        <w:t>. Malden, MA: Blackwell Publishing.</w:t>
      </w:r>
    </w:p>
    <w:p w:rsidR="002F4C64" w:rsidRDefault="002F4C64" w:rsidP="002F4C64">
      <w:pPr>
        <w:spacing w:line="240" w:lineRule="auto"/>
        <w:rPr>
          <w:rFonts w:ascii="Times New Roman" w:eastAsia="Times New Roman" w:hAnsi="Times New Roman" w:cs="Times New Roman"/>
          <w:sz w:val="24"/>
          <w:szCs w:val="24"/>
        </w:rPr>
      </w:pPr>
    </w:p>
    <w:p w:rsidR="002F4C64" w:rsidRDefault="002F4C64" w:rsidP="002F4C64">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Nolan, D., &amp; Brookes, S. (2013). Populism in theory and practice: Analysing celebrity politics. </w:t>
      </w:r>
    </w:p>
    <w:p w:rsidR="002F4C64" w:rsidRDefault="002F4C64" w:rsidP="002F4C64">
      <w:pPr>
        <w:shd w:val="clear" w:color="auto" w:fill="FFFFFF"/>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media</w:t>
      </w:r>
      <w:proofErr w:type="gramEnd"/>
      <w:r>
        <w:rPr>
          <w:rFonts w:ascii="Times New Roman" w:eastAsia="Times New Roman" w:hAnsi="Times New Roman" w:cs="Times New Roman"/>
          <w:i/>
          <w:sz w:val="24"/>
          <w:szCs w:val="24"/>
        </w:rPr>
        <w:t xml:space="preserve"> asia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40 </w:t>
      </w:r>
      <w:r>
        <w:rPr>
          <w:rFonts w:ascii="Times New Roman" w:eastAsia="Times New Roman" w:hAnsi="Times New Roman" w:cs="Times New Roman"/>
          <w:sz w:val="24"/>
          <w:szCs w:val="24"/>
        </w:rPr>
        <w:t xml:space="preserve">(4), 373–383. </w:t>
      </w:r>
    </w:p>
    <w:p w:rsidR="002F4C64" w:rsidRDefault="002F4C64" w:rsidP="002F4C64">
      <w:pPr>
        <w:spacing w:line="240" w:lineRule="auto"/>
        <w:rPr>
          <w:rFonts w:ascii="Times New Roman" w:eastAsia="Times New Roman" w:hAnsi="Times New Roman" w:cs="Times New Roman"/>
          <w:sz w:val="24"/>
          <w:szCs w:val="24"/>
        </w:rPr>
      </w:pPr>
    </w:p>
    <w:p w:rsidR="00C30C8B" w:rsidRDefault="001E516C" w:rsidP="00EF2EA7">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Proudfoot, S. (2018, July 13). Justin Trudeau’s sunny ways won in 2015. Can his brand survive? </w:t>
      </w:r>
    </w:p>
    <w:p w:rsidR="00C30C8B" w:rsidRDefault="001E516C" w:rsidP="002F4C64">
      <w:pPr>
        <w:shd w:val="clear" w:color="auto" w:fill="FFFFFF"/>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MacLean’s</w:t>
      </w:r>
      <w:proofErr w:type="gram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Retrieved from https://www.macleans.ca/politics/ottawa/justin-trudeaus-sunny-ways-won-in-2015-can-his-brand-survive/ </w:t>
      </w:r>
    </w:p>
    <w:p w:rsidR="00C30C8B" w:rsidRDefault="00C30C8B">
      <w:pPr>
        <w:shd w:val="clear" w:color="auto" w:fill="FFFFFF"/>
        <w:spacing w:line="240" w:lineRule="auto"/>
        <w:jc w:val="both"/>
        <w:rPr>
          <w:rFonts w:ascii="Times New Roman" w:eastAsia="Times New Roman" w:hAnsi="Times New Roman" w:cs="Times New Roman"/>
          <w:sz w:val="24"/>
          <w:szCs w:val="24"/>
        </w:rPr>
      </w:pPr>
    </w:p>
    <w:p w:rsidR="00C30C8B" w:rsidRDefault="001E516C">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Rojek, C. (2001). </w:t>
      </w:r>
      <w:r>
        <w:rPr>
          <w:rFonts w:ascii="Times New Roman" w:eastAsia="Times New Roman" w:hAnsi="Times New Roman" w:cs="Times New Roman"/>
          <w:i/>
          <w:sz w:val="24"/>
          <w:szCs w:val="24"/>
        </w:rPr>
        <w:t>Celebrity</w:t>
      </w:r>
      <w:r>
        <w:rPr>
          <w:rFonts w:ascii="Times New Roman" w:eastAsia="Times New Roman" w:hAnsi="Times New Roman" w:cs="Times New Roman"/>
          <w:sz w:val="24"/>
          <w:szCs w:val="24"/>
        </w:rPr>
        <w:t>. London, UK: Reaktion Books.</w:t>
      </w:r>
    </w:p>
    <w:p w:rsidR="00EF2EA7" w:rsidRDefault="00EF2EA7">
      <w:pPr>
        <w:shd w:val="clear" w:color="auto" w:fill="FFFFFF"/>
        <w:spacing w:line="240" w:lineRule="auto"/>
        <w:jc w:val="both"/>
        <w:rPr>
          <w:rFonts w:ascii="Times New Roman" w:eastAsia="Times New Roman" w:hAnsi="Times New Roman" w:cs="Times New Roman"/>
          <w:sz w:val="24"/>
          <w:szCs w:val="24"/>
        </w:rPr>
      </w:pPr>
    </w:p>
    <w:p w:rsidR="00C30C8B" w:rsidRDefault="001E516C" w:rsidP="002F4C64">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Rojek, C. (2007). Celebrity and Religion. In Redmond, S., &amp; Holmes, S. (Eds.). </w:t>
      </w:r>
      <w:r>
        <w:rPr>
          <w:rFonts w:ascii="Times New Roman" w:eastAsia="Times New Roman" w:hAnsi="Times New Roman" w:cs="Times New Roman"/>
          <w:i/>
          <w:sz w:val="24"/>
          <w:szCs w:val="24"/>
        </w:rPr>
        <w:t>Stardom and celebrity: A reader</w:t>
      </w:r>
      <w:r>
        <w:rPr>
          <w:rFonts w:ascii="Times New Roman" w:eastAsia="Times New Roman" w:hAnsi="Times New Roman" w:cs="Times New Roman"/>
          <w:sz w:val="24"/>
          <w:szCs w:val="24"/>
        </w:rPr>
        <w:t>. London, UK: Sage.</w:t>
      </w:r>
    </w:p>
    <w:p w:rsidR="00C30C8B" w:rsidRDefault="001E516C">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Street, J. (2004). Celebrity politicians: popular culture and political representation. </w:t>
      </w:r>
      <w:r>
        <w:rPr>
          <w:rFonts w:ascii="Times New Roman" w:eastAsia="Times New Roman" w:hAnsi="Times New Roman" w:cs="Times New Roman"/>
          <w:i/>
          <w:sz w:val="24"/>
          <w:szCs w:val="24"/>
        </w:rPr>
        <w:t xml:space="preserve">The British </w:t>
      </w:r>
    </w:p>
    <w:p w:rsidR="00C30C8B" w:rsidRDefault="001E516C" w:rsidP="002F4C64">
      <w:pPr>
        <w:shd w:val="clear" w:color="auto" w:fill="FFFFFF"/>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i/>
          <w:sz w:val="24"/>
          <w:szCs w:val="24"/>
        </w:rPr>
        <w:t>journal</w:t>
      </w:r>
      <w:proofErr w:type="gramEnd"/>
      <w:r>
        <w:rPr>
          <w:rFonts w:ascii="Times New Roman" w:eastAsia="Times New Roman" w:hAnsi="Times New Roman" w:cs="Times New Roman"/>
          <w:i/>
          <w:sz w:val="24"/>
          <w:szCs w:val="24"/>
        </w:rPr>
        <w:t xml:space="preserve"> of politics &amp; international relations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6 </w:t>
      </w:r>
      <w:r>
        <w:rPr>
          <w:rFonts w:ascii="Times New Roman" w:eastAsia="Times New Roman" w:hAnsi="Times New Roman" w:cs="Times New Roman"/>
          <w:sz w:val="24"/>
          <w:szCs w:val="24"/>
        </w:rPr>
        <w:t>(4), 435–452.</w:t>
      </w:r>
    </w:p>
    <w:p w:rsidR="00C30C8B" w:rsidRDefault="001E516C">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Turner, G. (2007). The Economy of Celebrity. In Redmond, S., &amp; Holmes, S. (Eds.). </w:t>
      </w:r>
    </w:p>
    <w:p w:rsidR="00C30C8B" w:rsidRPr="001E516C" w:rsidRDefault="001E516C" w:rsidP="002F4C64">
      <w:pPr>
        <w:shd w:val="clear" w:color="auto" w:fill="FFFFFF"/>
        <w:spacing w:line="24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i/>
          <w:sz w:val="24"/>
          <w:szCs w:val="24"/>
        </w:rPr>
        <w:t>Stardom and celebrity: A reader</w:t>
      </w:r>
      <w:r>
        <w:rPr>
          <w:rFonts w:ascii="Times New Roman" w:eastAsia="Times New Roman" w:hAnsi="Times New Roman" w:cs="Times New Roman"/>
          <w:sz w:val="24"/>
          <w:szCs w:val="24"/>
        </w:rPr>
        <w:t xml:space="preserve">. </w:t>
      </w:r>
      <w:r w:rsidRPr="001E516C">
        <w:rPr>
          <w:rFonts w:ascii="Times New Roman" w:eastAsia="Times New Roman" w:hAnsi="Times New Roman" w:cs="Times New Roman"/>
          <w:sz w:val="24"/>
          <w:szCs w:val="24"/>
          <w:lang w:val="fr-FR"/>
        </w:rPr>
        <w:t>London, UK: Sage.</w:t>
      </w:r>
    </w:p>
    <w:p w:rsidR="00C30C8B" w:rsidRPr="001E516C" w:rsidRDefault="00C30C8B">
      <w:pPr>
        <w:spacing w:line="240" w:lineRule="auto"/>
        <w:jc w:val="both"/>
        <w:rPr>
          <w:rFonts w:ascii="Times New Roman" w:eastAsia="Times New Roman" w:hAnsi="Times New Roman" w:cs="Times New Roman"/>
          <w:sz w:val="24"/>
          <w:szCs w:val="24"/>
          <w:highlight w:val="white"/>
          <w:lang w:val="fr-FR"/>
        </w:rPr>
      </w:pPr>
    </w:p>
    <w:p w:rsidR="00C30C8B" w:rsidRPr="001E516C" w:rsidRDefault="001E516C" w:rsidP="00EF2EA7">
      <w:pPr>
        <w:spacing w:line="240" w:lineRule="auto"/>
        <w:rPr>
          <w:rFonts w:ascii="Times New Roman" w:eastAsia="Times New Roman" w:hAnsi="Times New Roman" w:cs="Times New Roman"/>
          <w:sz w:val="24"/>
          <w:szCs w:val="24"/>
          <w:highlight w:val="white"/>
          <w:lang w:val="fr-FR"/>
        </w:rPr>
      </w:pPr>
      <w:r w:rsidRPr="001E516C">
        <w:rPr>
          <w:rFonts w:ascii="Times New Roman" w:eastAsia="Times New Roman" w:hAnsi="Times New Roman" w:cs="Times New Roman"/>
          <w:sz w:val="24"/>
          <w:szCs w:val="24"/>
          <w:highlight w:val="white"/>
          <w:lang w:val="fr-FR"/>
        </w:rPr>
        <w:t xml:space="preserve">Vossen, K. C. (2019). Le cadrage politique et l’ethos de Justin Trudeau sur Instagram: un </w:t>
      </w:r>
    </w:p>
    <w:p w:rsidR="00C30C8B" w:rsidRPr="001E516C" w:rsidRDefault="001E516C" w:rsidP="002F4C64">
      <w:pPr>
        <w:spacing w:line="240" w:lineRule="auto"/>
        <w:rPr>
          <w:rFonts w:ascii="Times New Roman" w:eastAsia="Times New Roman" w:hAnsi="Times New Roman" w:cs="Times New Roman"/>
          <w:sz w:val="24"/>
          <w:szCs w:val="24"/>
          <w:lang w:val="fr-FR"/>
        </w:rPr>
      </w:pPr>
      <w:proofErr w:type="gramStart"/>
      <w:r w:rsidRPr="001E516C">
        <w:rPr>
          <w:rFonts w:ascii="Times New Roman" w:eastAsia="Times New Roman" w:hAnsi="Times New Roman" w:cs="Times New Roman"/>
          <w:sz w:val="24"/>
          <w:szCs w:val="24"/>
          <w:highlight w:val="white"/>
          <w:lang w:val="fr-FR"/>
        </w:rPr>
        <w:t>storytelling</w:t>
      </w:r>
      <w:proofErr w:type="gramEnd"/>
      <w:r w:rsidRPr="001E516C">
        <w:rPr>
          <w:rFonts w:ascii="Times New Roman" w:eastAsia="Times New Roman" w:hAnsi="Times New Roman" w:cs="Times New Roman"/>
          <w:sz w:val="24"/>
          <w:szCs w:val="24"/>
          <w:highlight w:val="white"/>
          <w:lang w:val="fr-FR"/>
        </w:rPr>
        <w:t xml:space="preserve"> héroïque entre émotion et celebrity politics. </w:t>
      </w:r>
      <w:r w:rsidRPr="001E516C">
        <w:rPr>
          <w:rFonts w:ascii="Times New Roman" w:eastAsia="Times New Roman" w:hAnsi="Times New Roman" w:cs="Times New Roman"/>
          <w:i/>
          <w:sz w:val="24"/>
          <w:szCs w:val="24"/>
          <w:highlight w:val="white"/>
          <w:lang w:val="fr-FR"/>
        </w:rPr>
        <w:t>Comm</w:t>
      </w:r>
      <w:r w:rsidR="00EF2EA7">
        <w:rPr>
          <w:rFonts w:ascii="Times New Roman" w:eastAsia="Times New Roman" w:hAnsi="Times New Roman" w:cs="Times New Roman"/>
          <w:i/>
          <w:sz w:val="24"/>
          <w:szCs w:val="24"/>
          <w:highlight w:val="white"/>
          <w:lang w:val="fr-FR"/>
        </w:rPr>
        <w:t xml:space="preserve">uniquer. Revue de communication </w:t>
      </w:r>
      <w:r w:rsidRPr="001E516C">
        <w:rPr>
          <w:rFonts w:ascii="Times New Roman" w:eastAsia="Times New Roman" w:hAnsi="Times New Roman" w:cs="Times New Roman"/>
          <w:i/>
          <w:sz w:val="24"/>
          <w:szCs w:val="24"/>
          <w:highlight w:val="white"/>
          <w:lang w:val="fr-FR"/>
        </w:rPr>
        <w:t>sociale et publique</w:t>
      </w:r>
      <w:r w:rsidRPr="001E516C">
        <w:rPr>
          <w:rFonts w:ascii="Times New Roman" w:eastAsia="Times New Roman" w:hAnsi="Times New Roman" w:cs="Times New Roman"/>
          <w:sz w:val="24"/>
          <w:szCs w:val="24"/>
          <w:highlight w:val="white"/>
          <w:lang w:val="fr-FR"/>
        </w:rPr>
        <w:t>, (26), 1-22</w:t>
      </w:r>
      <w:r w:rsidRPr="001E516C">
        <w:rPr>
          <w:sz w:val="20"/>
          <w:szCs w:val="20"/>
          <w:highlight w:val="white"/>
          <w:lang w:val="fr-FR"/>
        </w:rPr>
        <w:t>.</w:t>
      </w:r>
      <w:r w:rsidRPr="001E516C">
        <w:rPr>
          <w:rFonts w:ascii="Times New Roman" w:eastAsia="Times New Roman" w:hAnsi="Times New Roman" w:cs="Times New Roman"/>
          <w:sz w:val="24"/>
          <w:szCs w:val="24"/>
          <w:lang w:val="fr-FR"/>
        </w:rPr>
        <w:br/>
      </w:r>
    </w:p>
    <w:p w:rsidR="00C30C8B" w:rsidRDefault="001E516C" w:rsidP="00EF2EA7">
      <w:pPr>
        <w:shd w:val="clear" w:color="auto" w:fill="FFFFFF"/>
        <w:spacing w:line="240" w:lineRule="auto"/>
        <w:rPr>
          <w:rFonts w:ascii="Times New Roman" w:eastAsia="Times New Roman" w:hAnsi="Times New Roman" w:cs="Times New Roman"/>
          <w:sz w:val="24"/>
          <w:szCs w:val="24"/>
        </w:rPr>
      </w:pPr>
      <w:r w:rsidRPr="001E516C">
        <w:rPr>
          <w:rFonts w:ascii="Times New Roman" w:eastAsia="Times New Roman" w:hAnsi="Times New Roman" w:cs="Times New Roman"/>
          <w:sz w:val="24"/>
          <w:szCs w:val="24"/>
          <w:lang w:val="fr-FR"/>
        </w:rPr>
        <w:t xml:space="preserve">Weber, M. (2007). The nature of charismatic domination. </w:t>
      </w:r>
      <w:r>
        <w:rPr>
          <w:rFonts w:ascii="Times New Roman" w:eastAsia="Times New Roman" w:hAnsi="Times New Roman" w:cs="Times New Roman"/>
          <w:sz w:val="24"/>
          <w:szCs w:val="24"/>
        </w:rPr>
        <w:t xml:space="preserve">In Redmond, S., &amp; Holmes, S. (Eds.). </w:t>
      </w:r>
    </w:p>
    <w:p w:rsidR="00C30C8B" w:rsidRDefault="001E516C" w:rsidP="00EF2EA7">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Stardom and celebrity: A reader</w:t>
      </w:r>
      <w:r>
        <w:rPr>
          <w:rFonts w:ascii="Times New Roman" w:eastAsia="Times New Roman" w:hAnsi="Times New Roman" w:cs="Times New Roman"/>
          <w:sz w:val="24"/>
          <w:szCs w:val="24"/>
        </w:rPr>
        <w:t xml:space="preserve">. London, UK: Sage. </w:t>
      </w:r>
    </w:p>
    <w:p w:rsidR="00C30C8B" w:rsidRDefault="00C30C8B" w:rsidP="00EF2EA7">
      <w:pPr>
        <w:shd w:val="clear" w:color="auto" w:fill="FFFFFF"/>
        <w:spacing w:line="240" w:lineRule="auto"/>
        <w:ind w:left="567"/>
        <w:rPr>
          <w:rFonts w:ascii="Times New Roman" w:eastAsia="Times New Roman" w:hAnsi="Times New Roman" w:cs="Times New Roman"/>
          <w:sz w:val="24"/>
          <w:szCs w:val="24"/>
        </w:rPr>
      </w:pPr>
    </w:p>
    <w:p w:rsidR="00C30C8B" w:rsidRDefault="001E516C" w:rsidP="00EF2EA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Wheeler, M. (2012). The Democratic Worth of Celebrity Politics in an Era of Late </w:t>
      </w:r>
    </w:p>
    <w:p w:rsidR="00C30C8B" w:rsidRDefault="001E516C" w:rsidP="002F4C6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Modernity. British Journal of Politics &amp; International Relations, 14(3), 407–422. </w:t>
      </w:r>
    </w:p>
    <w:p w:rsidR="00C30C8B" w:rsidRDefault="00C30C8B" w:rsidP="00EF2EA7">
      <w:pPr>
        <w:shd w:val="clear" w:color="auto" w:fill="FFFFFF"/>
        <w:spacing w:line="240" w:lineRule="auto"/>
        <w:rPr>
          <w:rFonts w:ascii="Times New Roman" w:eastAsia="Times New Roman" w:hAnsi="Times New Roman" w:cs="Times New Roman"/>
          <w:sz w:val="24"/>
          <w:szCs w:val="24"/>
        </w:rPr>
      </w:pPr>
    </w:p>
    <w:p w:rsidR="00C30C8B" w:rsidRDefault="001E516C" w:rsidP="00EF2EA7">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 M., Corbett, J., &amp; Flinders, M. (2016). Just like us: Everyday celebrity politicians and the </w:t>
      </w:r>
    </w:p>
    <w:p w:rsidR="00C30C8B" w:rsidRDefault="001E516C" w:rsidP="002F4C64">
      <w:pPr>
        <w:shd w:val="clear" w:color="auto" w:fill="FFFFFF"/>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pursuit</w:t>
      </w:r>
      <w:proofErr w:type="gramEnd"/>
      <w:r>
        <w:rPr>
          <w:rFonts w:ascii="Times New Roman" w:eastAsia="Times New Roman" w:hAnsi="Times New Roman" w:cs="Times New Roman"/>
          <w:sz w:val="24"/>
          <w:szCs w:val="24"/>
        </w:rPr>
        <w:t xml:space="preserve"> of popularity in an age of anti-politics. </w:t>
      </w:r>
      <w:r>
        <w:rPr>
          <w:rFonts w:ascii="Times New Roman" w:eastAsia="Times New Roman" w:hAnsi="Times New Roman" w:cs="Times New Roman"/>
          <w:i/>
          <w:sz w:val="24"/>
          <w:szCs w:val="24"/>
        </w:rPr>
        <w:t>The British Journal of Politics and International Relations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18 </w:t>
      </w:r>
      <w:r>
        <w:rPr>
          <w:rFonts w:ascii="Times New Roman" w:eastAsia="Times New Roman" w:hAnsi="Times New Roman" w:cs="Times New Roman"/>
          <w:sz w:val="24"/>
          <w:szCs w:val="24"/>
        </w:rPr>
        <w:t xml:space="preserve">(3), 581–598. </w:t>
      </w:r>
    </w:p>
    <w:p w:rsidR="00EF2EA7" w:rsidRDefault="00EF2EA7" w:rsidP="00EF2EA7">
      <w:pPr>
        <w:shd w:val="clear" w:color="auto" w:fill="FFFFFF"/>
        <w:spacing w:line="240" w:lineRule="auto"/>
        <w:jc w:val="both"/>
        <w:rPr>
          <w:rFonts w:ascii="Times New Roman" w:eastAsia="Times New Roman" w:hAnsi="Times New Roman" w:cs="Times New Roman"/>
          <w:b/>
          <w:sz w:val="24"/>
          <w:szCs w:val="24"/>
          <w:highlight w:val="white"/>
        </w:rPr>
      </w:pPr>
      <w:bookmarkStart w:id="8" w:name="_gjdgxs" w:colFirst="0" w:colLast="0"/>
      <w:bookmarkEnd w:id="8"/>
    </w:p>
    <w:p w:rsidR="00EF2EA7" w:rsidRDefault="00EF2EA7" w:rsidP="00EF2EA7">
      <w:pPr>
        <w:shd w:val="clear" w:color="auto" w:fill="FFFFFF"/>
        <w:spacing w:line="240" w:lineRule="auto"/>
        <w:jc w:val="both"/>
        <w:rPr>
          <w:rFonts w:ascii="Times New Roman" w:eastAsia="Times New Roman" w:hAnsi="Times New Roman" w:cs="Times New Roman"/>
          <w:b/>
          <w:sz w:val="24"/>
          <w:szCs w:val="24"/>
          <w:highlight w:val="white"/>
        </w:rPr>
      </w:pPr>
    </w:p>
    <w:p w:rsidR="002F4C64" w:rsidRDefault="002F4C64" w:rsidP="00EF2EA7">
      <w:pPr>
        <w:shd w:val="clear" w:color="auto" w:fill="FFFFFF"/>
        <w:spacing w:line="240" w:lineRule="auto"/>
        <w:jc w:val="both"/>
        <w:rPr>
          <w:rFonts w:ascii="Times New Roman" w:eastAsia="Times New Roman" w:hAnsi="Times New Roman" w:cs="Times New Roman"/>
          <w:b/>
          <w:sz w:val="24"/>
          <w:szCs w:val="24"/>
          <w:highlight w:val="white"/>
        </w:rPr>
      </w:pPr>
    </w:p>
    <w:p w:rsidR="00C30C8B" w:rsidRDefault="001E516C" w:rsidP="00EF2EA7">
      <w:p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About the author</w:t>
      </w:r>
      <w:r>
        <w:rPr>
          <w:rFonts w:ascii="Times New Roman" w:eastAsia="Times New Roman" w:hAnsi="Times New Roman" w:cs="Times New Roman"/>
          <w:sz w:val="24"/>
          <w:szCs w:val="24"/>
          <w:highlight w:val="white"/>
        </w:rPr>
        <w:t>:</w:t>
      </w:r>
    </w:p>
    <w:p w:rsidR="00C30C8B" w:rsidRDefault="001E516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author is a fourth-year student at Concordia University. She is completing a BA with a double major in Communications &amp; Cultural Studies and in Community &amp; Public Affairs and Policy Studies. Her research and interests focus on issues of public policy, especially regarding immigration and social media. </w:t>
      </w:r>
    </w:p>
    <w:sectPr w:rsidR="00C30C8B">
      <w:headerReference w:type="default" r:id="rId119"/>
      <w:headerReference w:type="first" r:id="rId120"/>
      <w:pgSz w:w="12240" w:h="15840"/>
      <w:pgMar w:top="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16C" w:rsidRDefault="001E516C">
      <w:pPr>
        <w:spacing w:line="240" w:lineRule="auto"/>
      </w:pPr>
      <w:r>
        <w:separator/>
      </w:r>
    </w:p>
  </w:endnote>
  <w:endnote w:type="continuationSeparator" w:id="0">
    <w:p w:rsidR="001E516C" w:rsidRDefault="001E51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16C" w:rsidRDefault="001E516C">
      <w:pPr>
        <w:spacing w:line="240" w:lineRule="auto"/>
      </w:pPr>
      <w:r>
        <w:separator/>
      </w:r>
    </w:p>
  </w:footnote>
  <w:footnote w:type="continuationSeparator" w:id="0">
    <w:p w:rsidR="001E516C" w:rsidRDefault="001E516C">
      <w:pPr>
        <w:spacing w:line="240" w:lineRule="auto"/>
      </w:pPr>
      <w:r>
        <w:continuationSeparator/>
      </w:r>
    </w:p>
  </w:footnote>
  <w:footnote w:id="1">
    <w:p w:rsidR="001E516C" w:rsidRDefault="001E516C">
      <w:pPr>
        <w:spacing w:line="240" w:lineRule="auto"/>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Special thanks to my advisor, Giuliano Fleri, PhD candidate at the Graduate Institute of International and Development Studies.</w:t>
      </w:r>
    </w:p>
  </w:footnote>
  <w:footnote w:id="2">
    <w:p w:rsidR="001E516C" w:rsidRDefault="001E516C">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Terms included: </w:t>
      </w:r>
      <w:r>
        <w:rPr>
          <w:rFonts w:ascii="Times New Roman" w:eastAsia="Times New Roman" w:hAnsi="Times New Roman" w:cs="Times New Roman"/>
          <w:i/>
          <w:sz w:val="20"/>
          <w:szCs w:val="20"/>
        </w:rPr>
        <w:t>Hurricane Sandy</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Superstorm Sandy</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Tropical Storm Sandy</w:t>
      </w:r>
    </w:p>
  </w:footnote>
  <w:footnote w:id="3">
    <w:p w:rsidR="001E516C" w:rsidRDefault="001E516C">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Terms included: </w:t>
      </w:r>
      <w:r>
        <w:rPr>
          <w:rFonts w:ascii="Times New Roman" w:eastAsia="Times New Roman" w:hAnsi="Times New Roman" w:cs="Times New Roman"/>
          <w:i/>
          <w:sz w:val="20"/>
          <w:szCs w:val="20"/>
        </w:rPr>
        <w:t>climate change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global warming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16C" w:rsidRDefault="001E516C">
    <w:pPr>
      <w:jc w:val="right"/>
    </w:pPr>
    <w:r>
      <w:fldChar w:fldCharType="begin"/>
    </w:r>
    <w:r>
      <w:instrText>PAGE</w:instrText>
    </w:r>
    <w:r>
      <w:fldChar w:fldCharType="separate"/>
    </w:r>
    <w:r w:rsidR="002305CD">
      <w:rPr>
        <w:noProof/>
      </w:rPr>
      <w:t>73</w:t>
    </w:r>
    <w:r>
      <w:fldChar w:fldCharType="end"/>
    </w:r>
  </w:p>
  <w:p w:rsidR="001E516C" w:rsidRDefault="001E516C">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16C" w:rsidRDefault="001E516C">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A2B48"/>
    <w:multiLevelType w:val="multilevel"/>
    <w:tmpl w:val="3992F5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063A6E"/>
    <w:multiLevelType w:val="multilevel"/>
    <w:tmpl w:val="A09C1D54"/>
    <w:lvl w:ilvl="0">
      <w:start w:val="8"/>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5446EC"/>
    <w:multiLevelType w:val="multilevel"/>
    <w:tmpl w:val="3EC8F7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D23843"/>
    <w:multiLevelType w:val="multilevel"/>
    <w:tmpl w:val="288E525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F0727B"/>
    <w:multiLevelType w:val="multilevel"/>
    <w:tmpl w:val="3A844E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C8B"/>
    <w:rsid w:val="000E531A"/>
    <w:rsid w:val="001E516C"/>
    <w:rsid w:val="002305CD"/>
    <w:rsid w:val="002D72FE"/>
    <w:rsid w:val="002F4C64"/>
    <w:rsid w:val="007F459E"/>
    <w:rsid w:val="00855395"/>
    <w:rsid w:val="00C30C8B"/>
    <w:rsid w:val="00EF2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B100"/>
  <w15:docId w15:val="{766130F9-38DF-4AC7-93CD-1BE5EC190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0">
    <w:basedOn w:val="TableNormal"/>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EF2E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doi.org/10.1016/j.worlddev.2009.11.019" TargetMode="External"/><Relationship Id="rId117" Type="http://schemas.openxmlformats.org/officeDocument/2006/relationships/hyperlink" Target="https://torontosun.com/2015/11/15/justin-trudeau-is-prime-minister-" TargetMode="External"/><Relationship Id="rId21" Type="http://schemas.openxmlformats.org/officeDocument/2006/relationships/hyperlink" Target="https://www.questia.com/library/journal/1P4-2064892110/reducing-the-digital-divide" TargetMode="External"/><Relationship Id="rId42" Type="http://schemas.openxmlformats.org/officeDocument/2006/relationships/hyperlink" Target="https://doi.org/10.1016/j.proeng.2016.02.057" TargetMode="External"/><Relationship Id="rId47" Type="http://schemas.openxmlformats.org/officeDocument/2006/relationships/hyperlink" Target="https://unstats.un.org/unsd/methodology/m49/" TargetMode="External"/><Relationship Id="rId63" Type="http://schemas.openxmlformats.org/officeDocument/2006/relationships/hyperlink" Target="https://digital1.library.txstate.edu/bitstream/handle/10877/7482/LOPEZSANCHEZ-THESIS-2018.pdf?sequence=1&amp;isAllowed=y" TargetMode="External"/><Relationship Id="rId68" Type="http://schemas.openxmlformats.org/officeDocument/2006/relationships/hyperlink" Target="https://nationalinterest.org/blog/buzz/china-and-cult-xi-25581" TargetMode="External"/><Relationship Id="rId84" Type="http://schemas.openxmlformats.org/officeDocument/2006/relationships/hyperlink" Target="http://www.fema.gov/mat-results-hurricane-sandy" TargetMode="External"/><Relationship Id="rId89" Type="http://schemas.openxmlformats.org/officeDocument/2006/relationships/hyperlink" Target="https://edition.cnn.com/2013/07/13/world/americas/hurricane-sandy-fast-facts/index.html" TargetMode="External"/><Relationship Id="rId112" Type="http://schemas.openxmlformats.org/officeDocument/2006/relationships/hyperlink" Target="https://doi.org/10.2139/ssrn.3144139" TargetMode="External"/><Relationship Id="rId16" Type="http://schemas.openxmlformats.org/officeDocument/2006/relationships/hyperlink" Target="https://doi.org/10.1016/j.resconrec.2015.03.003" TargetMode="External"/><Relationship Id="rId107" Type="http://schemas.openxmlformats.org/officeDocument/2006/relationships/hyperlink" Target="https://www.nytimes.com/2018/03/17/us/politics/cambridge-analytica-trump-campaign.html?module=inline" TargetMode="External"/><Relationship Id="rId11" Type="http://schemas.openxmlformats.org/officeDocument/2006/relationships/hyperlink" Target="https://doaj.org/article/2aad58eda6d64f8192f4ac80a5f431c9" TargetMode="External"/><Relationship Id="rId32" Type="http://schemas.openxmlformats.org/officeDocument/2006/relationships/hyperlink" Target="https://doi.org/10.1080/14693062.2016.1248886" TargetMode="External"/><Relationship Id="rId37" Type="http://schemas.openxmlformats.org/officeDocument/2006/relationships/hyperlink" Target="https://www.jstor.org/stable/43284916" TargetMode="External"/><Relationship Id="rId53" Type="http://schemas.openxmlformats.org/officeDocument/2006/relationships/hyperlink" Target="https://www.theglobeandmail.com/news/politics/nato-researcher-warns-of-russian-interference-in-2019-canadian-election/article38124979/" TargetMode="External"/><Relationship Id="rId58" Type="http://schemas.openxmlformats.org/officeDocument/2006/relationships/hyperlink" Target="https://www.budget.gc.ca/2015/docs/plan/ch4-3-eng.html" TargetMode="External"/><Relationship Id="rId74" Type="http://schemas.openxmlformats.org/officeDocument/2006/relationships/hyperlink" Target="http://www.chinafile.com/conversation/xi-jinping-cult-personality" TargetMode="External"/><Relationship Id="rId79" Type="http://schemas.openxmlformats.org/officeDocument/2006/relationships/hyperlink" Target="https://doi.org/10.1177/0725513618756098" TargetMode="External"/><Relationship Id="rId102" Type="http://schemas.openxmlformats.org/officeDocument/2006/relationships/hyperlink" Target="https://www.pewresearch.org/internet/2016/10/25/the-tone-of-social-media-discussions-%09around-politics/" TargetMode="External"/><Relationship Id="rId5" Type="http://schemas.openxmlformats.org/officeDocument/2006/relationships/webSettings" Target="webSettings.xml"/><Relationship Id="rId90" Type="http://schemas.openxmlformats.org/officeDocument/2006/relationships/hyperlink" Target="https://www.vox.com/2019/1/28/18197262/climate-change-poll-public-opinion-carbon-tax" TargetMode="External"/><Relationship Id="rId95" Type="http://schemas.openxmlformats.org/officeDocument/2006/relationships/hyperlink" Target="https://www.theguardian.com/commentisfree/2016/dec/11/google-frames-shapes-and-distorts-how-we-see-world" TargetMode="External"/><Relationship Id="rId22" Type="http://schemas.openxmlformats.org/officeDocument/2006/relationships/hyperlink" Target="https://doi.org/10.1016/j.tele.2006.06.004" TargetMode="External"/><Relationship Id="rId27" Type="http://schemas.openxmlformats.org/officeDocument/2006/relationships/hyperlink" Target="https://doi.org/10.1080/13691180903322805./" TargetMode="External"/><Relationship Id="rId43" Type="http://schemas.openxmlformats.org/officeDocument/2006/relationships/hyperlink" Target="https://doi.org/10.1177/1024258917702830" TargetMode="External"/><Relationship Id="rId48" Type="http://schemas.openxmlformats.org/officeDocument/2006/relationships/hyperlink" Target="https://doi.org/10.1016/j.labeco.2011.05.006" TargetMode="External"/><Relationship Id="rId64" Type="http://schemas.openxmlformats.org/officeDocument/2006/relationships/hyperlink" Target="http://macdonaldlaurier.ca/files/pdf/MLICommentary_Nov2018_Shoebridge_Fweb.pdf" TargetMode="External"/><Relationship Id="rId69" Type="http://schemas.openxmlformats.org/officeDocument/2006/relationships/hyperlink" Target="https://www.washingtonpost.com/news/global-opinions/wp/2018/08/02/xi-jinping-sees-some-pushback-against-his-iron-fisted-rule/?noredirect=on" TargetMode="External"/><Relationship Id="rId113" Type="http://schemas.openxmlformats.org/officeDocument/2006/relationships/hyperlink" Target="mailto:JasonGoldfarb1@gmail.com" TargetMode="External"/><Relationship Id="rId118" Type="http://schemas.openxmlformats.org/officeDocument/2006/relationships/hyperlink" Target="https://www.cbc.ca/life/wellness/everybody-loves-justin-how-trudeaumania-vol-2-is-bringing-se" TargetMode="External"/><Relationship Id="rId80" Type="http://schemas.openxmlformats.org/officeDocument/2006/relationships/hyperlink" Target="https://www.nhc.noaa.gov/data/tcr/AL182012_Sandy.pdf" TargetMode="External"/><Relationship Id="rId85" Type="http://schemas.openxmlformats.org/officeDocument/2006/relationships/hyperlink" Target="https://www.journalism.org/2019/03/26/for-local-news-americans-embrace-digital-but-still-want-strong-community-connection/" TargetMode="External"/><Relationship Id="rId12" Type="http://schemas.openxmlformats.org/officeDocument/2006/relationships/hyperlink" Target="https://www.jstor.org/stable/1558020" TargetMode="External"/><Relationship Id="rId17" Type="http://schemas.openxmlformats.org/officeDocument/2006/relationships/hyperlink" Target="https://doi.org/10.1162/qjec.2010.125.4.1577" TargetMode="External"/><Relationship Id="rId33" Type="http://schemas.openxmlformats.org/officeDocument/2006/relationships/hyperlink" Target="https://doi.org/10.1162/REST_a_00366" TargetMode="External"/><Relationship Id="rId38" Type="http://schemas.openxmlformats.org/officeDocument/2006/relationships/hyperlink" Target="https://doi.org/10.3390/su10124453" TargetMode="External"/><Relationship Id="rId59" Type="http://schemas.openxmlformats.org/officeDocument/2006/relationships/hyperlink" Target="https://www.theglobeandmail.com/business/international-business/us-business/article-mike-pompeo-says-us-wont-partner-with-countries-that-use-huawei/" TargetMode="External"/><Relationship Id="rId103" Type="http://schemas.openxmlformats.org/officeDocument/2006/relationships/hyperlink" Target="https://www.cnbc.com/2019/10/30/twitter-bans-political-ads-after-facebook-refused-to-do-so.html" TargetMode="External"/><Relationship Id="rId108" Type="http://schemas.openxmlformats.org/officeDocument/2006/relationships/hyperlink" Target="https://www.nytimes.com/2018/03/17/us/politics/cambridge-analytica-trump-campaign.html?module=inline" TargetMode="External"/><Relationship Id="rId54" Type="http://schemas.openxmlformats.org/officeDocument/2006/relationships/hyperlink" Target="https://www.cbc.ca/news/technology/huawei-5g-security-testing-vulnerabilities-risks-proof-ban-1.4997957" TargetMode="External"/><Relationship Id="rId70" Type="http://schemas.openxmlformats.org/officeDocument/2006/relationships/hyperlink" Target="https://www.washingtonpost.com/world/asia_pacific/chinese-app-on-xis-ideology-allows-data-access-to-100-million-users-phones-report-says/2019/10/11/2d53bbae-eb4d-11e9-bafb-da248f8d5734_story.html" TargetMode="External"/><Relationship Id="rId75" Type="http://schemas.openxmlformats.org/officeDocument/2006/relationships/hyperlink" Target="https://papers.ssrn.com/sol3/papers.cfm?abstract_id=2630824" TargetMode="External"/><Relationship Id="rId91" Type="http://schemas.openxmlformats.org/officeDocument/2006/relationships/hyperlink" Target="https://doi.org/10.1126/science.aaa1160" TargetMode="External"/><Relationship Id="rId96" Type="http://schemas.openxmlformats.org/officeDocument/2006/relationships/hyperlink" Target="https://www.theguardian.com/commentisfree/2016/dec/11/google-frames-shapes-and-distorts-how-we-see-worl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16/j.worlddev.2014.09.021" TargetMode="External"/><Relationship Id="rId28" Type="http://schemas.openxmlformats.org/officeDocument/2006/relationships/hyperlink" Target="https://doi.org/10.1016/j.resconrec.2017.02.011" TargetMode="External"/><Relationship Id="rId49" Type="http://schemas.openxmlformats.org/officeDocument/2006/relationships/hyperlink" Target="https://doi.org/10.1016/j.ecolecon.2011.06.027" TargetMode="External"/><Relationship Id="rId114" Type="http://schemas.openxmlformats.org/officeDocument/2006/relationships/image" Target="media/image4.jpg"/><Relationship Id="rId119" Type="http://schemas.openxmlformats.org/officeDocument/2006/relationships/header" Target="header1.xml"/><Relationship Id="rId44" Type="http://schemas.openxmlformats.org/officeDocument/2006/relationships/hyperlink" Target="https://doi.org/10.1016/j.techfore.2017.09.021" TargetMode="External"/><Relationship Id="rId60" Type="http://schemas.openxmlformats.org/officeDocument/2006/relationships/hyperlink" Target="https://infosecwriters.com/Papers/DNguyen_State_Sponsored_CyberHacking_and_E%20%20%20spionage.pdf" TargetMode="External"/><Relationship Id="rId65" Type="http://schemas.openxmlformats.org/officeDocument/2006/relationships/hyperlink" Target="https://business.financialpost.com/telecom/huawei-likely-faces-5g-ban-in-canada-security-experts-say" TargetMode="External"/><Relationship Id="rId81" Type="http://schemas.openxmlformats.org/officeDocument/2006/relationships/hyperlink" Target="https://www.bloomberg.com/opinion/articles/2012-11-01/a-vote-for-a-president-to-lead-on-climate-change" TargetMode="External"/><Relationship Id="rId86" Type="http://schemas.openxmlformats.org/officeDocument/2006/relationships/hyperlink" Target="https://www.wnyc.org/story/294306-gov-christie-rejects-nj-transit-needed-prepare-climate-change-ahead-sandy/"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doi.org/10.1016/j.jclepro.2017.12.239" TargetMode="External"/><Relationship Id="rId18" Type="http://schemas.openxmlformats.org/officeDocument/2006/relationships/hyperlink" Target="https://www.imf.org/en/Publications/WP/Issues/2017/07/24/Why-Is-Labor-Receiving-a-Smaller-Share-of-Global-Income-Theory-and-Empirical-Evidence-45102" TargetMode="External"/><Relationship Id="rId39" Type="http://schemas.openxmlformats.org/officeDocument/2006/relationships/hyperlink" Target="https://doi.org/10.1016/j.apgeog.2014.04.008" TargetMode="External"/><Relationship Id="rId109" Type="http://schemas.openxmlformats.org/officeDocument/2006/relationships/hyperlink" Target="https://newsroom.fb.com/news/2018/04/restricting-data-access/" TargetMode="External"/><Relationship Id="rId34" Type="http://schemas.openxmlformats.org/officeDocument/2006/relationships/hyperlink" Target="https://doi.org/10.1007/s10668-018-0237-5" TargetMode="External"/><Relationship Id="rId50" Type="http://schemas.openxmlformats.org/officeDocument/2006/relationships/hyperlink" Target="https://doi.org/10.2753/JEI0021-3624450407" TargetMode="External"/><Relationship Id="rId55" Type="http://schemas.openxmlformats.org/officeDocument/2006/relationships/hyperlink" Target="http://publications.gc.ca/collections/collection_2010/bcp-pco/SO1-1-2010-eng.pdf" TargetMode="External"/><Relationship Id="rId76" Type="http://schemas.openxmlformats.org/officeDocument/2006/relationships/hyperlink" Target="https://www.theguardian.com/world/2018/mar/05/china-told-to-follow-the-leader-xi-jinping-in-thought-word-and-deed" TargetMode="External"/><Relationship Id="rId97" Type="http://schemas.openxmlformats.org/officeDocument/2006/relationships/hyperlink" Target="https://www.theguardian.com/commentisfree/2016/dec/11/google-frames-shapes-and-distorts-how-we-see-world" TargetMode="External"/><Relationship Id="rId104" Type="http://schemas.openxmlformats.org/officeDocument/2006/relationships/hyperlink" Target="https://www.cnbc.com/2019/10/30/twitter-bans-political-ads-after-facebook-refused-to-do-so.html" TargetMode="External"/><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cure53.de/analysis_report_sgn.pdf" TargetMode="External"/><Relationship Id="rId92" Type="http://schemas.openxmlformats.org/officeDocument/2006/relationships/hyperlink" Target="https://doi.org/10.1126/science.aaa1160" TargetMode="External"/><Relationship Id="rId2" Type="http://schemas.openxmlformats.org/officeDocument/2006/relationships/numbering" Target="numbering.xml"/><Relationship Id="rId29" Type="http://schemas.openxmlformats.org/officeDocument/2006/relationships/hyperlink" Target="https://doi.org/10.1371/journal.pone.0086197" TargetMode="External"/><Relationship Id="rId24" Type="http://schemas.openxmlformats.org/officeDocument/2006/relationships/hyperlink" Target="https://doi.org/10.1146/annurev-environ-102017-025949" TargetMode="External"/><Relationship Id="rId40" Type="http://schemas.openxmlformats.org/officeDocument/2006/relationships/hyperlink" Target="https://doi.org/10.1016/j.respol.2012.04.002" TargetMode="External"/><Relationship Id="rId45" Type="http://schemas.openxmlformats.org/officeDocument/2006/relationships/hyperlink" Target="https://doi.org/10.1111/hic3.12306" TargetMode="External"/><Relationship Id="rId66" Type="http://schemas.openxmlformats.org/officeDocument/2006/relationships/image" Target="media/image3.png"/><Relationship Id="rId87" Type="http://schemas.openxmlformats.org/officeDocument/2006/relationships/hyperlink" Target="https://www.nytimes.com/2012/10/31/business/media/hurricane-sandy-sends-news-media-scrambling.html" TargetMode="External"/><Relationship Id="rId110" Type="http://schemas.openxmlformats.org/officeDocument/2006/relationships/hyperlink" Target="http://www.pewinternet.org/2018/03/01/social-media-use-in-2018/" TargetMode="External"/><Relationship Id="rId115" Type="http://schemas.openxmlformats.org/officeDocument/2006/relationships/image" Target="media/image5.jpg"/><Relationship Id="rId61" Type="http://schemas.openxmlformats.org/officeDocument/2006/relationships/hyperlink" Target="https://www.publicsafety.gc.ca/cnt/ntnl-scrt/crtcl-nfrstrctr/index-en.aspx" TargetMode="External"/><Relationship Id="rId82" Type="http://schemas.openxmlformats.org/officeDocument/2006/relationships/hyperlink" Target="https://www.nydailynews.com/opinion/lead-climate-change-article-1.1202221" TargetMode="External"/><Relationship Id="rId19" Type="http://schemas.openxmlformats.org/officeDocument/2006/relationships/hyperlink" Target="https://doi.org/10.1111/agec.12300" TargetMode="External"/><Relationship Id="rId14" Type="http://schemas.openxmlformats.org/officeDocument/2006/relationships/hyperlink" Target="https://doi.org/10.1016/j.ecolecon.2015.04.026" TargetMode="External"/><Relationship Id="rId30" Type="http://schemas.openxmlformats.org/officeDocument/2006/relationships/hyperlink" Target="https://doi.org/10.1016/j.jce.2010.05.002" TargetMode="External"/><Relationship Id="rId35" Type="http://schemas.openxmlformats.org/officeDocument/2006/relationships/hyperlink" Target="https://doi.org/10.1016/j.techsoc.2013.04.002" TargetMode="External"/><Relationship Id="rId56" Type="http://schemas.openxmlformats.org/officeDocument/2006/relationships/hyperlink" Target="http://citeseerx.ist.psu.edu/viewdoc/download?doi=10.1.1.357.5576&amp;rep=rep1&amp;type=pdf" TargetMode="External"/><Relationship Id="rId77" Type="http://schemas.openxmlformats.org/officeDocument/2006/relationships/hyperlink" Target="https://www.jstor.org/stable/pdf/20023840.pdf" TargetMode="External"/><Relationship Id="rId100" Type="http://schemas.openxmlformats.org/officeDocument/2006/relationships/hyperlink" Target="https://doi.org/10.1353/jod.2019.0002" TargetMode="External"/><Relationship Id="rId105" Type="http://schemas.openxmlformats.org/officeDocument/2006/relationships/hyperlink" Target="https://www.washingtonexaminer.com/weekly-standard/the-election-came-down-to-77-744-votes-in-pennsylvania-wisconsin-and-michigan-updated" TargetMode="External"/><Relationship Id="rId8" Type="http://schemas.openxmlformats.org/officeDocument/2006/relationships/image" Target="media/image1.jpg"/><Relationship Id="rId51" Type="http://schemas.openxmlformats.org/officeDocument/2006/relationships/hyperlink" Target="https://www.emerald.com/insight/content/doi/10.1108/JD-10-2017-0148/full/html" TargetMode="External"/><Relationship Id="rId72" Type="http://schemas.openxmlformats.org/officeDocument/2006/relationships/hyperlink" Target="http://www.globaltimes.cn/content/1013745.shtml" TargetMode="External"/><Relationship Id="rId93" Type="http://schemas.openxmlformats.org/officeDocument/2006/relationships/hyperlink" Target="https://doi.org/10.1038/nature11421" TargetMode="External"/><Relationship Id="rId98" Type="http://schemas.openxmlformats.org/officeDocument/2006/relationships/hyperlink" Target="https://www.theguardian.com/technology/2017/may/07/the-great-british-brexit-robbery-hijacked-democracy"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doi.org/10.1080/13549830902904185" TargetMode="External"/><Relationship Id="rId46" Type="http://schemas.openxmlformats.org/officeDocument/2006/relationships/hyperlink" Target="https://www.undp.org/content/undp/en/home/sustainable-development-goals/goal-10-reduced-inequalities.html" TargetMode="External"/><Relationship Id="rId67" Type="http://schemas.openxmlformats.org/officeDocument/2006/relationships/hyperlink" Target="http://time.com/magazine/south-pacific/4278204/april-11th-2016-vol-187-no-13-asia-europe-middle-east-and-africa-south-pacific/" TargetMode="External"/><Relationship Id="rId116" Type="http://schemas.openxmlformats.org/officeDocument/2006/relationships/image" Target="media/image6.jpg"/><Relationship Id="rId20" Type="http://schemas.openxmlformats.org/officeDocument/2006/relationships/hyperlink" Target="https://doi.org/10.1016/j.resconrec.2018.10.041" TargetMode="External"/><Relationship Id="rId41" Type="http://schemas.openxmlformats.org/officeDocument/2006/relationships/hyperlink" Target="https://doi.org/10.1111/ssqu.12504" TargetMode="External"/><Relationship Id="rId62" Type="http://schemas.openxmlformats.org/officeDocument/2006/relationships/hyperlink" Target="https://www.publicsafety.gc.ca/cnt/rsrcs/pblctns/ntnl-cbr-scrt-strtg/ntnl-cbr-scrt-strtg-%20%20%20%20en.pdf" TargetMode="External"/><Relationship Id="rId83" Type="http://schemas.openxmlformats.org/officeDocument/2006/relationships/hyperlink" Target="http://www.washingtonpost.com/wp-dyn/content/article/2005/09/15/AR2005091502234.html" TargetMode="External"/><Relationship Id="rId88" Type="http://schemas.openxmlformats.org/officeDocument/2006/relationships/hyperlink" Target="https://www.cjr.org/analysis/how-well-do-we-cover-climate-change-an-analysis.php" TargetMode="External"/><Relationship Id="rId111" Type="http://schemas.openxmlformats.org/officeDocument/2006/relationships/hyperlink" Target="https://doi.org/10.2139/ssrn.3144139" TargetMode="External"/><Relationship Id="rId15" Type="http://schemas.openxmlformats.org/officeDocument/2006/relationships/hyperlink" Target="https://doi.org/10.1111/j.1468-0297.2005.01042.x" TargetMode="External"/><Relationship Id="rId36" Type="http://schemas.openxmlformats.org/officeDocument/2006/relationships/hyperlink" Target="https://doi.org/10.1016/j.iref.2017.11.004" TargetMode="External"/><Relationship Id="rId57" Type="http://schemas.openxmlformats.org/officeDocument/2006/relationships/hyperlink" Target="https://www.budget.gc.ca/2018/docs/plan/budget-2018-en.pdf" TargetMode="External"/><Relationship Id="rId106" Type="http://schemas.openxmlformats.org/officeDocument/2006/relationships/hyperlink" Target="https://www.washingtonexaminer.com/weekly-standard/the-election-came-down-to-77-744-votes-in-pennsylvania-wisconsin-and-michigan-updated" TargetMode="External"/><Relationship Id="rId10" Type="http://schemas.openxmlformats.org/officeDocument/2006/relationships/hyperlink" Target="https://www.jstor.org/stable/2698593" TargetMode="External"/><Relationship Id="rId31" Type="http://schemas.openxmlformats.org/officeDocument/2006/relationships/hyperlink" Target="https://doi.org/10.28945/4117" TargetMode="External"/><Relationship Id="rId52" Type="http://schemas.openxmlformats.org/officeDocument/2006/relationships/hyperlink" Target="https://doi.org/10.1016/j.jet.2006.03.011" TargetMode="External"/><Relationship Id="rId73" Type="http://schemas.openxmlformats.org/officeDocument/2006/relationships/hyperlink" Target="https://jamestown.org/program/xis-grip-on-authority-loosens-amid-trade-war-policy-paralysis/" TargetMode="External"/><Relationship Id="rId78" Type="http://schemas.openxmlformats.org/officeDocument/2006/relationships/hyperlink" Target="https://www.scmp.com/week-asia/opinion/article/3001866/chinas-two-sessions-was-xi-worship-straight-out-old-communist" TargetMode="External"/><Relationship Id="rId94" Type="http://schemas.openxmlformats.org/officeDocument/2006/relationships/hyperlink" Target="https://doi.org/10.1038/nature11421" TargetMode="External"/><Relationship Id="rId99" Type="http://schemas.openxmlformats.org/officeDocument/2006/relationships/hyperlink" Target="https://www.theguardian.com/technology/2017/may/07/the-great-british-brexit-robbery-hijacked-democracy" TargetMode="External"/><Relationship Id="rId101" Type="http://schemas.openxmlformats.org/officeDocument/2006/relationships/hyperlink" Target="https://doi.org/10.1353/jod.2019.0002"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92882-EA4A-49D2-9C31-56057C37E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174</Pages>
  <Words>51546</Words>
  <Characters>293818</Characters>
  <Application>Microsoft Office Word</Application>
  <DocSecurity>0</DocSecurity>
  <Lines>2448</Lines>
  <Paragraphs>689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CECILE PLANCHON</cp:lastModifiedBy>
  <cp:revision>6</cp:revision>
  <cp:lastPrinted>2019-12-29T12:07:00Z</cp:lastPrinted>
  <dcterms:created xsi:type="dcterms:W3CDTF">2019-12-19T00:49:00Z</dcterms:created>
  <dcterms:modified xsi:type="dcterms:W3CDTF">2019-12-29T21:14:00Z</dcterms:modified>
</cp:coreProperties>
</file>